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B224" w14:textId="77777777" w:rsidR="00EC0D1F" w:rsidRPr="0059027D" w:rsidRDefault="00000000" w:rsidP="0059027D">
      <w:pPr>
        <w:spacing w:after="120" w:line="360" w:lineRule="auto"/>
        <w:contextualSpacing/>
        <w:rPr>
          <w:rFonts w:ascii="Times New Roman" w:hAnsi="Times New Roman" w:cs="Times New Roman"/>
        </w:rPr>
      </w:pPr>
      <w:r>
        <w:rPr>
          <w:rFonts w:ascii="Times New Roman" w:hAnsi="Times New Roman" w:cs="Times New Roman"/>
          <w:b/>
          <w:bCs/>
          <w:sz w:val="32"/>
          <w:szCs w:val="32"/>
        </w:rPr>
        <w:t>VALIDAÇÃO LOCAL DA MARIAH (DOCUMENTO MARIAH)</w:t>
      </w:r>
    </w:p>
    <w:p w14:paraId="429E0025" w14:textId="77777777" w:rsidR="00EC0D1F" w:rsidRPr="0059027D" w:rsidRDefault="00000000" w:rsidP="0059027D">
      <w:pPr>
        <w:spacing w:after="240" w:line="360" w:lineRule="auto"/>
        <w:contextualSpacing/>
        <w:rPr>
          <w:rFonts w:ascii="Times New Roman" w:hAnsi="Times New Roman" w:cs="Times New Roman"/>
        </w:rPr>
      </w:pPr>
      <w:r>
        <w:rPr>
          <w:rFonts w:ascii="Times New Roman" w:hAnsi="Times New Roman" w:cs="Times New Roman"/>
          <w:b/>
          <w:bCs/>
          <w:sz w:val="28"/>
          <w:szCs w:val="28"/>
        </w:rPr>
        <w:t>Guia de Validação Local da MARIAH pelos Comitês de Ética em Pesquisa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0D1F" w:rsidRPr="0059027D" w14:paraId="7D547F0B" w14:textId="77777777">
        <w:tblPrEx>
          <w:tblCellMar>
            <w:top w:w="0" w:type="dxa"/>
            <w:bottom w:w="0" w:type="dxa"/>
          </w:tblCellMar>
        </w:tblPrEx>
        <w:tc>
          <w:tcPr>
            <w:tcW w:w="9360" w:type="dxa"/>
            <w:tcBorders>
              <w:top w:val="single" w:sz="4" w:space="0" w:color="888888"/>
              <w:left w:val="single" w:sz="4" w:space="0" w:color="888888"/>
              <w:bottom w:val="single" w:sz="4" w:space="0" w:color="888888"/>
              <w:right w:val="single" w:sz="4" w:space="0" w:color="888888"/>
            </w:tcBorders>
            <w:shd w:val="clear" w:color="auto" w:fill="EFEFEF"/>
            <w:tcMar>
              <w:top w:w="160" w:type="dxa"/>
              <w:left w:w="200" w:type="dxa"/>
              <w:bottom w:w="160" w:type="dxa"/>
              <w:right w:w="200" w:type="dxa"/>
            </w:tcMar>
          </w:tcPr>
          <w:p w14:paraId="427868F4" w14:textId="77777777" w:rsidR="00EC0D1F" w:rsidRPr="0059027D" w:rsidRDefault="00000000" w:rsidP="0059027D">
            <w:pPr>
              <w:spacing w:after="80" w:line="360" w:lineRule="auto"/>
              <w:contextualSpacing/>
              <w:rPr>
                <w:rFonts w:ascii="Times New Roman" w:hAnsi="Times New Roman" w:cs="Times New Roman"/>
              </w:rPr>
            </w:pPr>
            <w:r>
              <w:rPr>
                <w:rFonts w:ascii="Times New Roman" w:hAnsi="Times New Roman" w:cs="Times New Roman"/>
                <w:b/>
                <w:bCs/>
              </w:rPr>
              <w:t>Quadro F.1  Guia de leitura da Validação Local (documento MARIAH)</w:t>
            </w:r>
          </w:p>
          <w:p w14:paraId="205F267E" w14:textId="78704A5E" w:rsidR="00EC0D1F" w:rsidRPr="0059027D" w:rsidRDefault="00000000" w:rsidP="0059027D">
            <w:pPr>
              <w:spacing w:line="360" w:lineRule="auto"/>
              <w:contextualSpacing/>
              <w:jc w:val="both"/>
              <w:rPr>
                <w:rFonts w:ascii="Times New Roman" w:hAnsi="Times New Roman" w:cs="Times New Roman"/>
              </w:rPr>
            </w:pPr>
            <w:r>
              <w:rPr>
                <w:rFonts w:ascii="Times New Roman" w:hAnsi="Times New Roman" w:cs="Times New Roman"/>
              </w:rPr>
              <w:t xml:space="preserve">Esta Seção oferece um roteiro prático para Comitês de Ética em Pesquisa que decidam, por iniciativa institucional própria, validar a Matriz MARIAH na sua casuística. Não há plano nacional centralizado, não há adesão formal a consórcio, não há prazo de execução. Cada CEP roda o que lhe for útil, no ritmo que lhe couber. O retorno de resultados ao Grupo de Trabalho responsável pelo guia é facultativo e serve à evolução futura do instrumento. As três frentes propostas em F.2 (concordância entre avaliadores, distribuição empírica dos protocolos e convergência entre as duas versões da matriz) podem ser executadas em conjunto ou separadamente. A planilha-modelo que acompanha esta Seção automatiza o registro e o cálculo dos indicadores e dispensa o uso de qualquer software estatístico especializado.</w:t>
            </w:r>
          </w:p>
        </w:tc>
      </w:tr>
    </w:tbl>
    <w:p w14:paraId="2C5D297F" w14:textId="77777777" w:rsidR="0059027D" w:rsidRPr="0059027D" w:rsidRDefault="00000000" w:rsidP="0059027D">
      <w:pPr>
        <w:pStyle w:val="Heading1"/>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F.1  Por que validar a MARIAH na sua casuística</w:t>
      </w:r>
    </w:p>
    <w:p w14:paraId="43F33605" w14:textId="77777777" w:rsidR="0059027D" w:rsidRPr="0059027D" w:rsidRDefault="00000000" w:rsidP="0059027D">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O Guia é explícito ao posicionar a MARIAH como instrumento de apoio à deliberação do Comitê de Ética em Pesquisa, e não como norma que vincule sua decisão. A adoção da matriz é escolha institucional de cada CEP. Esse mesmo espírito orienta a validação: nenhum CEP é obrigado a validar a MARIAH, e nenhum CEP precisa esperar decisão central para fazê-lo. Quando o colegiado entender que vale a pena verificar como a matriz se comporta nos protocolos que efetivamente lhe são submetidos, esta Seção de Validação Local oferece um roteiro prático para conduzir essa verificação.</w:t>
      </w:r>
    </w:p>
    <w:p w14:paraId="231DBDD0" w14:textId="77777777" w:rsidR="0059027D" w:rsidRPr="0059027D" w:rsidRDefault="00000000" w:rsidP="0059027D">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Há três razões pelas quais um CEP pode querer fazer essa validação. A primeira é o aprendizado institucional. A aplicação sistemática da matriz por dois ou mais membros do colegiado revela rapidamente quais perguntas estão sendo interpretadas de forma divergente, oferecendo insumo direto para a capacitação deliberativa descrita no documento MARIAH. A segunda é de qualificação institucional do parecer. Um CEP que demonstre, com base na sua própria casuística, que aplica a MARIAH de modo consistente entre avaliadores, fortalece a credibilidade dos seus pareceres em protocolos com inteligência artificial perante pesquisadores, patrocinadores e a sociedade. A terceira é de contribuição opcional à evolução do instrumento. Os pontos de corte atuais da Versão B são, conforme o próprio Guia reconhece, calibrações teóricas que </w:t>
        <w:lastRenderedPageBreak/>
        <w:t>merecem ser testadas empiricamente. CEPs que queiram compartilhar suas observações com o Grupo de Trabalho responsável pelo guia podem fazê-lo pelo canal descrito em F.5.</w:t>
      </w:r>
    </w:p>
    <w:p w14:paraId="025E1DC0" w14:textId="37B7D972" w:rsidR="00EC0D1F" w:rsidRPr="0059027D" w:rsidRDefault="00000000" w:rsidP="0059027D">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Vale, antes do roteiro, uma advertência. Esta Seção não pretende transformar membros de CEP em estatísticos. As métricas propostas em F.4 são as mínimas necessárias para que o colegiado leia os próprios resultados com segurança, e a planilha-modelo que acompanha esta Seção calcula essas métricas automaticamente. O que se espera do CEP é a deliberação colegiada sobre o que os números mostram, não o cálculo dos números em si.</w:t>
      </w:r>
    </w:p>
    <w:p w14:paraId="3470EB79" w14:textId="77777777" w:rsidR="0059027D" w:rsidRDefault="00000000" w:rsidP="0059027D">
      <w:pPr>
        <w:pStyle w:val="Heading1"/>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F.2  O que pode ser validado em três frentes</w:t>
      </w:r>
    </w:p>
    <w:p w14:paraId="1C9AEF0A" w14:textId="78B78B88" w:rsidR="00EC0D1F" w:rsidRPr="0059027D" w:rsidRDefault="00000000" w:rsidP="0059027D">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2"/>
          <w:szCs w:val="22"/>
        </w:rPr>
        <w:t>Esta Seção propõe três frentes independentes de validação. Cada CEP pode rodar uma, duas ou as três, em qualquer ordem. As três compartilham a mesma unidade amostral: o protocolo de pesquisa com uso de inteligência artificial submetido ao CEP.</w:t>
      </w:r>
    </w:p>
    <w:p w14:paraId="729F38AD" w14:textId="77777777" w:rsidR="0059027D" w:rsidRPr="0059027D" w:rsidRDefault="00000000" w:rsidP="0059027D">
      <w:pPr>
        <w:pStyle w:val="Heading2"/>
        <w:spacing w:line="360" w:lineRule="auto"/>
        <w:contextualSpacing/>
        <w:rPr>
          <w:rFonts w:ascii="Times New Roman" w:hAnsi="Times New Roman" w:cs="Times New Roman"/>
          <w:sz w:val="24"/>
          <w:szCs w:val="24"/>
        </w:rPr>
      </w:pPr>
      <w:r>
        <w:rPr>
          <w:rFonts w:ascii="Times New Roman" w:hAnsi="Times New Roman" w:cs="Times New Roman"/>
          <w:sz w:val="24"/>
          <w:szCs w:val="24"/>
        </w:rPr>
        <w:t>F.2.1  Concordância entre avaliadores na Versão A</w:t>
      </w:r>
    </w:p>
    <w:p w14:paraId="04104B9F" w14:textId="0F07B571" w:rsidR="0059027D" w:rsidRPr="0059027D" w:rsidRDefault="00000000" w:rsidP="0059027D">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A primeira frente verifica se dois ou mais integrantes do CEP, ao aplicarem a Versão A da MARIAH ao mesmo protocolo de forma independente, chegam à mesma classificação. É a frente operacionalmente mais simples e a que rende, do ponto de vista de aprendizado institucional, o retorno mais imediato. O colegiado descobre rapidamente em quais eixos há leitura convergente e em quais há discordância sistemática, o que orienta diretamente o que precisa ser conversado em reunião plenária.</w:t>
      </w:r>
    </w:p>
    <w:p w14:paraId="446735B5" w14:textId="2FAFBDC7" w:rsidR="00EC0D1F" w:rsidRPr="0059027D" w:rsidRDefault="00000000" w:rsidP="0059027D">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A recomendação é de pelo menos vinte protocolos avaliados em paralelo por dois membros do CEP, em condições de cegamento mútuo, antes de qualquer deliberação colegiada. Vinte é um piso prudente para que a estimativa de concordância tenha estabilidade mínima; CEPs com volume maior de protocolos com IA podem ampliar essa marca sem prejuízo, e CEPs com volume menor podem ir acumulando avaliações ao longo do tempo, sem prazo, até atingir essa marca.</w:t>
      </w:r>
    </w:p>
    <w:p w14:paraId="78843FAD" w14:textId="77777777" w:rsidR="0059027D" w:rsidRDefault="0059027D" w:rsidP="0059027D">
      <w:pPr>
        <w:pStyle w:val="Heading2"/>
        <w:spacing w:line="360" w:lineRule="auto"/>
        <w:contextualSpacing/>
        <w:rPr>
          <w:rFonts w:ascii="Times New Roman" w:hAnsi="Times New Roman" w:cs="Times New Roman"/>
        </w:rPr>
      </w:pPr>
    </w:p>
    <w:p w14:paraId="53864999" w14:textId="61C25D5A" w:rsidR="0059027D" w:rsidRDefault="00000000" w:rsidP="0059027D">
      <w:pPr>
        <w:pStyle w:val="Heading2"/>
        <w:spacing w:line="360" w:lineRule="auto"/>
        <w:contextualSpacing/>
        <w:rPr>
          <w:rFonts w:ascii="Times New Roman" w:hAnsi="Times New Roman" w:cs="Times New Roman"/>
        </w:rPr>
      </w:pPr>
      <w:r>
        <w:rPr>
          <w:rFonts w:ascii="Times New Roman" w:hAnsi="Times New Roman" w:cs="Times New Roman"/>
        </w:rPr>
        <w:t>F.2.2  Distribuição empírica dos protocolos nos quatro níveis</w:t>
      </w:r>
    </w:p>
    <w:p w14:paraId="7F87E3E0" w14:textId="77777777" w:rsidR="0059027D" w:rsidRPr="0059027D" w:rsidRDefault="00000000" w:rsidP="0059027D">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A segunda frente examina como os protocolos avaliados pelo CEP se distribuem nos quatro níveis da MARIAH. Há dois usos principais para essa informação. O primeiro é descritivo. O CEP passa a conhecer o perfil da sua casuística em pesquisa com inteligência artificial: se a maioria dos protocolos se concentra no Nível II, se há protocolos no Nível IV, se a distribuição mudou ao longo do tempo. Essa informação é insumo de planejamento institucional e de capacitação do colegiado. O segundo uso é diagnóstico. Quando a distribuição se concentra perto de um ponto de corte da </w:t>
        <w:lastRenderedPageBreak/>
        <w:t>Versão B, o colegiado tem evidência local de que pequenas variações na pontuação podem deslocar muitos protocolos de nível, o que justifica examinar com mais atenção os casos limítrofes.</w:t>
      </w:r>
    </w:p>
    <w:p w14:paraId="6121D562" w14:textId="2361F1D9" w:rsidR="00EC0D1F" w:rsidRPr="0059027D" w:rsidRDefault="00000000" w:rsidP="0059027D">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A recomendação operacional é registrar a pontuação total e a pontuação por bloco de todos os protocolos aos quais o CEP aplicar a Versão B, sem critério de inclusão específico. A planilha-modelo produz automaticamente o histograma e identifica concentrações próximas aos pontos de corte.</w:t>
      </w:r>
    </w:p>
    <w:p w14:paraId="44DD4D6C" w14:textId="77777777" w:rsidR="0059027D" w:rsidRDefault="0059027D" w:rsidP="0059027D">
      <w:pPr>
        <w:pStyle w:val="Heading2"/>
        <w:spacing w:line="360" w:lineRule="auto"/>
        <w:contextualSpacing/>
        <w:rPr>
          <w:rFonts w:ascii="Times New Roman" w:hAnsi="Times New Roman" w:cs="Times New Roman"/>
        </w:rPr>
      </w:pPr>
    </w:p>
    <w:p w14:paraId="6D0C0FCC" w14:textId="77777777" w:rsidR="0059027D" w:rsidRDefault="00000000" w:rsidP="0059027D">
      <w:pPr>
        <w:pStyle w:val="Heading2"/>
        <w:spacing w:line="360" w:lineRule="auto"/>
        <w:contextualSpacing/>
        <w:rPr>
          <w:rFonts w:ascii="Times New Roman" w:hAnsi="Times New Roman" w:cs="Times New Roman"/>
        </w:rPr>
      </w:pPr>
      <w:r>
        <w:rPr>
          <w:rFonts w:ascii="Times New Roman" w:hAnsi="Times New Roman" w:cs="Times New Roman"/>
        </w:rPr>
        <w:t>F.2.3  Convergência entre Versões A e B no modo triagem</w:t>
      </w:r>
    </w:p>
    <w:p w14:paraId="1077BA41" w14:textId="77777777" w:rsidR="00CF61F7" w:rsidRPr="00CF61F7" w:rsidRDefault="00000000" w:rsidP="00CF61F7">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A terceira frente examina se a Versão A e a Versão B, aplicadas ao mesmo protocolo no modo triagem previsto pelo Guia, convergem para a mesma classificação de risco. Quando o CEP usa rotineiramente o modo triagem (Versão A como filtro inicial e Versão B em casos de Nível III ou Nível IV) basta registrar as duas classificações em paralelo. Discordâncias sistemáticas entre as duas versões, quando ocorrem, são informação valiosa: ou indicam que o CEP está lendo de modo inconsistente as duas versões, ou indicam que as duas versões captam dimensões diferentes do risco no protocolo. Em ambos os casos, o colegiado tem material concreto para discutir e, se for o caso, reportar ao Grupo de Trabalho.</w:t>
      </w:r>
    </w:p>
    <w:p w14:paraId="609BD020" w14:textId="77777777" w:rsidR="00CF61F7" w:rsidRPr="00CF61F7" w:rsidRDefault="00CF61F7" w:rsidP="00CF61F7">
      <w:pPr>
        <w:pStyle w:val="Heading2"/>
        <w:spacing w:line="360" w:lineRule="auto"/>
        <w:contextualSpacing/>
        <w:jc w:val="both"/>
        <w:rPr>
          <w:rFonts w:ascii="Times New Roman" w:hAnsi="Times New Roman" w:cs="Times New Roman"/>
          <w:b w:val="0"/>
          <w:bCs w:val="0"/>
          <w:sz w:val="24"/>
          <w:szCs w:val="24"/>
        </w:rPr>
      </w:pPr>
    </w:p>
    <w:p w14:paraId="05350FC3" w14:textId="77777777" w:rsidR="00CF61F7" w:rsidRPr="00CF61F7" w:rsidRDefault="00000000" w:rsidP="00CF61F7">
      <w:pPr>
        <w:pStyle w:val="Heading2"/>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F.3  Como conduzir cada frente</w:t>
      </w:r>
    </w:p>
    <w:p w14:paraId="2AA9A82C" w14:textId="77777777" w:rsidR="00CF61F7" w:rsidRPr="00CF61F7" w:rsidRDefault="00000000" w:rsidP="00CF61F7">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O roteiro a seguir cobre as três frentes em um único fluxo. Cada CEP adapta o fluxo à sua dinâmica.</w:t>
      </w:r>
    </w:p>
    <w:p w14:paraId="37F5B9D0" w14:textId="11537DC4" w:rsidR="00CF61F7" w:rsidRPr="00CF61F7" w:rsidRDefault="00000000" w:rsidP="00CF61F7">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O primeiro passo é definir o período de coleta. Pode ser um trimestre, um semestre ou aberto. O importante é o CEP saber que, durante esse período, os protocolos com inteligência artificial recebidos serão objeto também do exercício de validação, em paralelo ao parecer ordinário. A coleta não altera o fluxo do parecer institucional do SINEP.</w:t>
      </w:r>
    </w:p>
    <w:p w14:paraId="083790F9" w14:textId="77777777" w:rsidR="00CF61F7" w:rsidRPr="00CF61F7" w:rsidRDefault="00000000" w:rsidP="00CF61F7">
      <w:pPr>
        <w:pStyle w:val="Heading2"/>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O segundo passo é constituir a dupla ou trio de avaliadores. A recomendação é que pelo menos dois membros do colegiado apliquem a Versão A de forma independente, sem consulta prévia entre si, e que um terceiro membro aplique a Versão B em separado. Avaliadores podem se revezar a cada protocolo; o que importa é a independência da aplicação dentro de cada protocolo. Não é necessário que o avaliador da Versão B seja o relator do parecer institucional.</w:t>
      </w:r>
    </w:p>
    <w:p w14:paraId="266ABF4D" w14:textId="77777777" w:rsidR="00CF61F7" w:rsidRPr="00CF61F7" w:rsidRDefault="00000000" w:rsidP="00640741">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O terceiro passo é registrar as avaliações na planilha-modelo. A planilha tem aba específica para cada frente. Cada protocolo recebe um identificador interno do CEP que dispensa qualquer </w:t>
        <w:lastRenderedPageBreak/>
        <w:t>informação que permita identificar pesquisador, instituição proponente ou patrocinador. A planilha não pede esses dados. O registro mínimo é o identificador, a data e as respostas dos avaliadores nas perguntas da matriz. As fórmulas calculam a classificação consolidada, a pontuação total e os indicadores agregados das três frentes.</w:t>
      </w:r>
    </w:p>
    <w:p w14:paraId="34400538" w14:textId="79C8C642" w:rsidR="00EC0D1F" w:rsidRPr="00CF61F7" w:rsidRDefault="00000000" w:rsidP="00CF61F7">
      <w:pPr>
        <w:pStyle w:val="Heading2"/>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O quarto passo é a deliberação colegiada sobre os achados. Recomenda-se reunião dedicada, ao final do período de coleta ou periodicamente durante ele, para que o colegiado discuta o que os indicadores estão mostrando. A planilha gera um painel-resumo que apoia essa discussão. A deliberação é o ponto central do exercício; os números são insumo, não conclusão.</w:t>
      </w:r>
    </w:p>
    <w:p w14:paraId="079A321F" w14:textId="77777777" w:rsidR="00640741" w:rsidRPr="00640741" w:rsidRDefault="00000000" w:rsidP="00640741">
      <w:pPr>
        <w:pStyle w:val="Heading1"/>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F.4  Como interpretar os achados</w:t>
      </w:r>
    </w:p>
    <w:p w14:paraId="7DEBC8D6" w14:textId="77777777" w:rsidR="00640741" w:rsidRPr="00640741" w:rsidRDefault="00000000" w:rsidP="00640741">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A interpretação dos achados não exige conhecimento estatístico avançado. Para as três frentes propostas, três leituras básicas bastam.</w:t>
      </w:r>
    </w:p>
    <w:p w14:paraId="66B8EAB3" w14:textId="61AE7C84" w:rsidR="00EC0D1F" w:rsidRPr="00640741" w:rsidRDefault="00000000" w:rsidP="00640741">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Para a frente de concordância entre avaliadores, o indicador principal é a estatística kappa de Cohen, calculada automaticamente pela planilha. A Tabela F.1 oferece a leitura prática dos valores observados. O colegiado lê o valor de kappa por eixo da Versão A e por classificação consolidada, identifica os eixos com kappa baixo e discute, em plenária, os casos de discordância naqueles eixos.</w:t>
      </w:r>
    </w:p>
    <w:p w14:paraId="5F10B755" w14:textId="77777777" w:rsidR="00EC0D1F" w:rsidRPr="0059027D" w:rsidRDefault="00000000" w:rsidP="0059027D">
      <w:pPr>
        <w:spacing w:before="120" w:after="80" w:line="360" w:lineRule="auto"/>
        <w:contextualSpacing/>
        <w:rPr>
          <w:rFonts w:ascii="Times New Roman" w:hAnsi="Times New Roman" w:cs="Times New Roman"/>
        </w:rPr>
      </w:pPr>
      <w:r>
        <w:rPr>
          <w:rFonts w:ascii="Times New Roman" w:hAnsi="Times New Roman" w:cs="Times New Roman"/>
          <w:b/>
          <w:bCs/>
        </w:rPr>
        <w:t>Tabela F.1  Leitura prática dos valores de kappa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EC0D1F" w:rsidRPr="0059027D" w14:paraId="37C77CD9" w14:textId="77777777">
        <w:tblPrEx>
          <w:tblCellMar>
            <w:top w:w="0" w:type="dxa"/>
            <w:bottom w:w="0" w:type="dxa"/>
          </w:tblCellMar>
        </w:tblPrEx>
        <w:trPr>
          <w:tblHeader/>
        </w:trPr>
        <w:tc>
          <w:tcPr>
            <w:tcW w:w="2340" w:type="dxa"/>
            <w:tcBorders>
              <w:top w:val="single" w:sz="4" w:space="0" w:color="888888"/>
              <w:left w:val="single" w:sz="4" w:space="0" w:color="888888"/>
              <w:bottom w:val="single" w:sz="4" w:space="0" w:color="888888"/>
              <w:right w:val="single" w:sz="4" w:space="0" w:color="888888"/>
            </w:tcBorders>
            <w:shd w:val="clear" w:color="auto" w:fill="D5E8F0"/>
            <w:tcMar>
              <w:top w:w="80" w:type="dxa"/>
              <w:left w:w="120" w:type="dxa"/>
              <w:bottom w:w="80" w:type="dxa"/>
              <w:right w:w="120" w:type="dxa"/>
            </w:tcMar>
          </w:tcPr>
          <w:p w14:paraId="1F561DB5"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b/>
                <w:bCs/>
                <w:sz w:val="20"/>
                <w:szCs w:val="20"/>
              </w:rPr>
              <w:t>Valor de kappa</w:t>
            </w:r>
          </w:p>
        </w:tc>
        <w:tc>
          <w:tcPr>
            <w:tcW w:w="7020" w:type="dxa"/>
            <w:tcBorders>
              <w:top w:val="single" w:sz="4" w:space="0" w:color="888888"/>
              <w:left w:val="single" w:sz="4" w:space="0" w:color="888888"/>
              <w:bottom w:val="single" w:sz="4" w:space="0" w:color="888888"/>
              <w:right w:val="single" w:sz="4" w:space="0" w:color="888888"/>
            </w:tcBorders>
            <w:shd w:val="clear" w:color="auto" w:fill="D5E8F0"/>
            <w:tcMar>
              <w:top w:w="80" w:type="dxa"/>
              <w:left w:w="120" w:type="dxa"/>
              <w:bottom w:w="80" w:type="dxa"/>
              <w:right w:w="120" w:type="dxa"/>
            </w:tcMar>
          </w:tcPr>
          <w:p w14:paraId="45BE7CD3"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b/>
                <w:bCs/>
                <w:sz w:val="20"/>
                <w:szCs w:val="20"/>
              </w:rPr>
              <w:t>Leitura prática</w:t>
            </w:r>
          </w:p>
        </w:tc>
      </w:tr>
      <w:tr w:rsidR="00EC0D1F" w:rsidRPr="0059027D" w14:paraId="18074D75"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7B0D74A2"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Abaixo de 0,40</w:t>
            </w:r>
          </w:p>
        </w:tc>
        <w:tc>
          <w:tcPr>
            <w:tcW w:w="70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E4068F5"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Concordância insuficiente. O eixo ou bloco merece revisão pelo colegiado: as perguntas estão sendo lidas de modo divergente, e isso é informação valiosa para discutir em plenária.</w:t>
            </w:r>
          </w:p>
        </w:tc>
      </w:tr>
      <w:tr w:rsidR="00EC0D1F" w:rsidRPr="0059027D" w14:paraId="70731912"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6B333BCC"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Entre 0,40 e 0,60</w:t>
            </w:r>
          </w:p>
        </w:tc>
        <w:tc>
          <w:tcPr>
            <w:tcW w:w="70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789E717" w14:textId="1A64E0F0"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 xml:space="preserve">Concordância moderada. Identifique os casos de discordância e use-os como pauta de reunião, porque são exatamente os casos limítrofes que o Guia trata ao abordar a formação dos comitês.</w:t>
            </w:r>
          </w:p>
        </w:tc>
      </w:tr>
      <w:tr w:rsidR="00EC0D1F" w:rsidRPr="0059027D" w14:paraId="33EC6E11"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A95BED4"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Entre 0,60 e 0,80</w:t>
            </w:r>
          </w:p>
        </w:tc>
        <w:tc>
          <w:tcPr>
            <w:tcW w:w="70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DC68516"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Concordância substancial. A aplicação está consistente. Pequenas discordâncias residuais são esperadas e saudáveis.</w:t>
            </w:r>
          </w:p>
        </w:tc>
      </w:tr>
      <w:tr w:rsidR="00EC0D1F" w:rsidRPr="0059027D" w14:paraId="02504E0A" w14:textId="77777777">
        <w:tblPrEx>
          <w:tblCellMar>
            <w:top w:w="0" w:type="dxa"/>
            <w:bottom w:w="0" w:type="dxa"/>
          </w:tblCellMar>
        </w:tblPrEx>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0474A2F"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0,80 ou acima</w:t>
            </w:r>
          </w:p>
        </w:tc>
        <w:tc>
          <w:tcPr>
            <w:tcW w:w="70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9F5B5E8" w14:textId="77777777" w:rsidR="00EC0D1F" w:rsidRPr="0059027D" w:rsidRDefault="00000000" w:rsidP="0059027D">
            <w:pPr>
              <w:spacing w:line="360" w:lineRule="auto"/>
              <w:contextualSpacing/>
              <w:rPr>
                <w:rFonts w:ascii="Times New Roman" w:hAnsi="Times New Roman" w:cs="Times New Roman"/>
              </w:rPr>
            </w:pPr>
            <w:r>
              <w:rPr>
                <w:rFonts w:ascii="Times New Roman" w:hAnsi="Times New Roman" w:cs="Times New Roman"/>
                <w:sz w:val="20"/>
                <w:szCs w:val="20"/>
              </w:rPr>
              <w:t>Concordância quase perfeita. A aplicação está estabilizada. Cuidado, porém: kappas muito altos em todos os eixos podem indicar que os avaliadores estão deliberando entre si antes de registrar as respostas, o que esvazia o exercício.</w:t>
            </w:r>
          </w:p>
        </w:tc>
      </w:tr>
    </w:tbl>
    <w:p w14:paraId="5DCE976B" w14:textId="77777777" w:rsidR="00EC0D1F" w:rsidRPr="0059027D" w:rsidRDefault="00000000" w:rsidP="0059027D">
      <w:pPr>
        <w:spacing w:after="200" w:line="360" w:lineRule="auto"/>
        <w:contextualSpacing/>
        <w:rPr>
          <w:rFonts w:ascii="Times New Roman" w:hAnsi="Times New Roman" w:cs="Times New Roman"/>
        </w:rPr>
      </w:pPr>
      <w:r>
        <w:rPr>
          <w:rFonts w:ascii="Times New Roman" w:hAnsi="Times New Roman" w:cs="Times New Roman"/>
          <w:i/>
          <w:iCs/>
          <w:sz w:val="18"/>
          <w:szCs w:val="18"/>
        </w:rPr>
        <w:t>Fonte: Adaptado de Landis e Koch (1977).</w:t>
      </w:r>
    </w:p>
    <w:p w14:paraId="5993D025" w14:textId="10F55CC4" w:rsidR="00EC0D1F" w:rsidRPr="0059027D" w:rsidRDefault="00000000" w:rsidP="00640741">
      <w:pPr>
        <w:spacing w:after="160" w:line="360" w:lineRule="auto"/>
        <w:ind w:firstLine="720"/>
        <w:contextualSpacing/>
        <w:jc w:val="both"/>
        <w:rPr>
          <w:rFonts w:ascii="Times New Roman" w:hAnsi="Times New Roman" w:cs="Times New Roman"/>
        </w:rPr>
      </w:pPr>
      <w:r>
        <w:rPr>
          <w:rFonts w:ascii="Times New Roman" w:hAnsi="Times New Roman" w:cs="Times New Roman"/>
        </w:rPr>
        <w:lastRenderedPageBreak/>
        <w:t xml:space="preserve">Para a frente de distribuição empírica, a leitura é visual. O colegiado analisa o histograma da planilha para verificar a concentração de protocolos em algum nível, a proximidade com os pontos de corte e a presença de bimodalidade (dois picos separados por um vale). Concentração próxima aos pontos de corte é alerta de que pequenas variações na aplicação da matriz produzem mudanças de nível. Bimodalidade marcada é evidência local de que o ponto de corte natural na casuística do CEP pode diferir do ponto teórico vigente.</w:t>
      </w:r>
    </w:p>
    <w:p w14:paraId="5761A165" w14:textId="77777777" w:rsidR="00640741" w:rsidRDefault="00640741" w:rsidP="00640741">
      <w:pPr>
        <w:spacing w:after="160" w:line="360" w:lineRule="auto"/>
        <w:ind w:firstLine="720"/>
        <w:contextualSpacing/>
        <w:jc w:val="both"/>
        <w:rPr>
          <w:rFonts w:ascii="Times New Roman" w:hAnsi="Times New Roman" w:cs="Times New Roman"/>
        </w:rPr>
      </w:pPr>
      <w:r>
        <w:rPr>
          <w:rFonts w:ascii="Times New Roman" w:hAnsi="Times New Roman" w:cs="Times New Roman"/>
        </w:rPr>
        <w:t>A leitura é tabular para a frente de convergência entre versões. A planilha gera uma tabela de contingência quatro por quatro que cruza as classificações da Versão A e da Versão B no modo triagem.  Alta convergência ocorre quando a diagonal principal concentra mais de oitenta por cento dos protocolos.  Padrões de discordância, que exigem exame qualitativo dos protocolos correspondentes, surgem quando há concentração em pares específicos fora da diagonal, como Nível II na Versão A e Nível III na Versão B.</w:t>
      </w:r>
    </w:p>
    <w:p w14:paraId="51CA182C" w14:textId="308AC984" w:rsidR="00EC0D1F" w:rsidRPr="00640741" w:rsidRDefault="00000000" w:rsidP="00640741">
      <w:pPr>
        <w:spacing w:after="16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 planilha não impõe interpretação ao colegiado. Os indicadores são apresentados com leitura sugerida, mas a deliberação sobre o que fazer com eles é decisão institucional do CEP.</w:t>
      </w:r>
    </w:p>
    <w:p w14:paraId="4B21B3A3" w14:textId="77777777" w:rsidR="00640741" w:rsidRDefault="00000000" w:rsidP="00640741">
      <w:pPr>
        <w:pStyle w:val="Heading1"/>
        <w:spacing w:line="360" w:lineRule="auto"/>
        <w:contextualSpacing/>
        <w:rPr>
          <w:rFonts w:ascii="Times New Roman" w:hAnsi="Times New Roman" w:cs="Times New Roman"/>
          <w:sz w:val="24"/>
          <w:szCs w:val="24"/>
        </w:rPr>
      </w:pPr>
      <w:r>
        <w:rPr>
          <w:rFonts w:ascii="Times New Roman" w:hAnsi="Times New Roman" w:cs="Times New Roman"/>
          <w:sz w:val="24"/>
          <w:szCs w:val="24"/>
        </w:rPr>
        <w:t>F.5  Quando e como compartilhar resultados com o Grupo de Trabalho</w:t>
      </w:r>
    </w:p>
    <w:p w14:paraId="2EACA152" w14:textId="6AD13706" w:rsidR="00640741" w:rsidRPr="00640741" w:rsidRDefault="00000000" w:rsidP="003C2BBA">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CEPs que decidirem compartilhar suas observações com o Grupo de Trabalho responsável pelo guia podem fazê-lo a qualquer momento por meio da Secretaria Executiva da INAEP (se.inaep@saude.gov.br). Não há prazo, não há formulário obrigatório, não há contrapartida institucional. O compartilhamento é ato voluntário, e seu único propósito é informar a evolução futura do instrumento.</w:t>
      </w:r>
    </w:p>
    <w:p w14:paraId="7D91D8B7" w14:textId="77777777" w:rsidR="00640741" w:rsidRPr="00640741" w:rsidRDefault="00000000" w:rsidP="003C2BBA">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O canal sugerido é o envio da planilha-modelo, preenchida e com identificação institucional do CEP, para o endereço eletrônico do Grupo de Trabalho indicado na página oficial do guia. O envio pode ser feito em qualquer formato que o CEP preferir: a planilha completa, um resumo dos indicadores agregados ou apenas uma nota narrativa descrevendo o que o colegiado observou. CEPs que tenham preocupação com a confidencialidade de informações institucionais podem encaminhar apenas os indicadores agregados, sem os registros por protocolo.</w:t>
      </w:r>
    </w:p>
    <w:p w14:paraId="2585514B" w14:textId="2DB7C1C8" w:rsidR="00EC0D1F" w:rsidRPr="00640741" w:rsidRDefault="00000000" w:rsidP="003C2BBA">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O Grupo de Trabalho consolidará as contribuições recebidas e as utilizará, em conjunto com outras fontes de evidência, para informar eventuais revisões da matriz em ciclos futuros de atualização do guia. As contribuições não terão atribuição nominal sem autorização expressa do CEP remetente, e nenhum CEP será identificado em publicação derivada sem seu consentimento institucional.</w:t>
      </w:r>
    </w:p>
    <w:p w14:paraId="5A3270C9" w14:textId="77777777" w:rsidR="00640741" w:rsidRDefault="00640741" w:rsidP="003C2BBA">
      <w:pPr>
        <w:pStyle w:val="Heading1"/>
        <w:spacing w:line="360" w:lineRule="auto"/>
        <w:contextualSpacing/>
        <w:jc w:val="both"/>
        <w:rPr>
          <w:rFonts w:ascii="Times New Roman" w:hAnsi="Times New Roman" w:cs="Times New Roman"/>
        </w:rPr>
      </w:pPr>
    </w:p>
    <w:p w14:paraId="7C5EE980" w14:textId="77777777" w:rsidR="00640741" w:rsidRDefault="00640741" w:rsidP="003C2BBA">
      <w:pPr>
        <w:pStyle w:val="Heading1"/>
        <w:spacing w:line="360" w:lineRule="auto"/>
        <w:contextualSpacing/>
        <w:jc w:val="both"/>
        <w:rPr>
          <w:rFonts w:ascii="Times New Roman" w:hAnsi="Times New Roman" w:cs="Times New Roman"/>
        </w:rPr>
      </w:pPr>
    </w:p>
    <w:p w14:paraId="2756E750" w14:textId="77777777" w:rsidR="00640741" w:rsidRPr="003C2BBA" w:rsidRDefault="00000000" w:rsidP="003C2BBA">
      <w:pPr>
        <w:pStyle w:val="Heading1"/>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F.6  Recursos disponíveis</w:t>
      </w:r>
    </w:p>
    <w:p w14:paraId="16308A11" w14:textId="77777777" w:rsidR="00640741" w:rsidRPr="003C2BBA" w:rsidRDefault="00000000" w:rsidP="003C2BBA">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Acompanha esta Seção uma planilha-modelo em formato .xlsx, com abas dedicadas a cada uma das três frentes de validação, fórmulas pré-configuradas para cálculo dos indicadores e painel-resumo com leitura sugerida. A planilha pode ser usada em qualquer software compatível, como Microsoft Excel, LibreOffice Calc ou Google Sheets, e não requer instalação de qualquer extensão estatística.</w:t>
      </w:r>
    </w:p>
    <w:p w14:paraId="6BBF4EB2" w14:textId="77777777" w:rsidR="00640741" w:rsidRPr="003C2BBA" w:rsidRDefault="00000000" w:rsidP="003C2BBA">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O software MARIAH, descrito no Guia e disponibilizado como Software Público Brasileiro, oferece uma camada operacional complementar: a aplicação das matrizes diretamente em formato digital, com exportação de relatórios padronizados. CEPs que prefiram operar o exercício de validação em ambiente digital podem fazê-lo exportando os relatórios e transferindo os dados para a planilha-modelo desta Seção de Validação Local. O repositório oficial do software fica em github.com/Tonaco-13.</w:t>
      </w:r>
    </w:p>
    <w:p w14:paraId="414D99F2" w14:textId="041D1BC7" w:rsidR="00EC0D1F" w:rsidRPr="003C2BBA" w:rsidRDefault="00000000" w:rsidP="003C2BBA">
      <w:pPr>
        <w:pStyle w:val="Heading1"/>
        <w:spacing w:line="360" w:lineRule="auto"/>
        <w:ind w:firstLine="720"/>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Dúvidas operacionais sobre a aplicação deste roteiro podem ser encaminhadas, junto com observações e sugestões, pelo canal indicado em F.5.</w:t>
      </w:r>
    </w:p>
    <w:p w14:paraId="7924713F" w14:textId="77777777" w:rsidR="003C2BBA" w:rsidRDefault="003C2BBA" w:rsidP="003C2BBA">
      <w:pPr>
        <w:pStyle w:val="Heading1"/>
        <w:spacing w:line="360" w:lineRule="auto"/>
        <w:contextualSpacing/>
        <w:jc w:val="both"/>
        <w:rPr>
          <w:rFonts w:ascii="Times New Roman" w:hAnsi="Times New Roman" w:cs="Times New Roman"/>
          <w:b w:val="0"/>
          <w:bCs w:val="0"/>
          <w:sz w:val="24"/>
          <w:szCs w:val="24"/>
        </w:rPr>
      </w:pPr>
    </w:p>
    <w:p w14:paraId="71611443" w14:textId="34534254" w:rsidR="003C2BBA" w:rsidRPr="003C2BBA" w:rsidRDefault="00000000" w:rsidP="003C2BBA">
      <w:pPr>
        <w:pStyle w:val="Heading1"/>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Referências</w:t>
      </w:r>
    </w:p>
    <w:p w14:paraId="43683A08" w14:textId="77777777" w:rsidR="003C2BBA" w:rsidRDefault="00000000" w:rsidP="003C2BBA">
      <w:pPr>
        <w:pStyle w:val="Heading1"/>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BRASIL. Conselho Nacional de Saúde. Resolução n.º 466, de 12 de dezembro de 2012. Brasília: Ministério da Saúde, 2012.</w:t>
      </w:r>
    </w:p>
    <w:p w14:paraId="17876958" w14:textId="77777777" w:rsidR="003C2BBA" w:rsidRDefault="00000000" w:rsidP="003C2BBA">
      <w:pPr>
        <w:pStyle w:val="Heading1"/>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BRASIL. Conselho Nacional de Saúde. Resolução n.º 510, de 7 de abril de 2016. Brasília: Ministério da Saúde, 2016.</w:t>
      </w:r>
    </w:p>
    <w:p w14:paraId="7032C6D8" w14:textId="77777777" w:rsidR="003C2BBA" w:rsidRDefault="00000000" w:rsidP="003C2BBA">
      <w:pPr>
        <w:pStyle w:val="Heading1"/>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BRASIL. Conselho Nacional de Saúde. Resolução n.º 738, de 8 de novembro de 2024. Brasília: Ministério da Saúde, 2024.</w:t>
      </w:r>
    </w:p>
    <w:p w14:paraId="49364F02" w14:textId="77777777" w:rsidR="003C2BBA" w:rsidRDefault="00000000" w:rsidP="003C2BBA">
      <w:pPr>
        <w:pStyle w:val="Heading1"/>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COHEN, J. A coefficient of agreement for nominal scales. Educational and Psychological Measurement, v. 20, n. 1, p. 37–46, 1960.</w:t>
      </w:r>
    </w:p>
    <w:p w14:paraId="4CE3D7C8" w14:textId="77777777" w:rsidR="003C2BBA" w:rsidRDefault="00000000" w:rsidP="003C2BBA">
      <w:pPr>
        <w:pStyle w:val="Heading1"/>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LANDIS, J. R.; KOCH, G. G. The measurement of observer agreement for categorical data. Biometrics, v. 33, n. 1, p. 159–174, 1977.</w:t>
      </w:r>
    </w:p>
    <w:p w14:paraId="7FFE3BE0" w14:textId="6733E4F7" w:rsidR="00EC0D1F" w:rsidRPr="003C2BBA" w:rsidRDefault="00000000" w:rsidP="003C2BBA">
      <w:pPr>
        <w:pStyle w:val="Heading1"/>
        <w:spacing w:line="360" w:lineRule="auto"/>
        <w:contextualSpacing/>
        <w:jc w:val="both"/>
        <w:rPr>
          <w:rFonts w:ascii="Times New Roman" w:hAnsi="Times New Roman" w:cs="Times New Roman"/>
          <w:b w:val="0"/>
          <w:bCs w:val="0"/>
          <w:sz w:val="24"/>
          <w:szCs w:val="24"/>
        </w:rPr>
      </w:pPr>
      <w:r>
        <w:rPr>
          <w:rFonts w:ascii="Times New Roman" w:hAnsi="Times New Roman" w:cs="Times New Roman"/>
          <w:b w:val="0"/>
          <w:bCs w:val="0"/>
          <w:sz w:val="24"/>
          <w:szCs w:val="24"/>
        </w:rPr>
        <w:t>SAMUELS, R.; OLIVEIRA, A. S. (Org.). Diretrizes éticas para pesquisa com inteligência artificial: guia para Comitês de Ética em Pesquisa. Brasília: Ministério da Saúde, no prelo. Capítulos 7 e 9.</w:t>
      </w:r>
    </w:p>
    <w:sectPr w:rsidR="00EC0D1F" w:rsidRPr="003C2BBA">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001F8" w14:textId="77777777" w:rsidR="00DC5EF2" w:rsidRDefault="00DC5EF2">
      <w:r>
        <w:separator/>
      </w:r>
    </w:p>
  </w:endnote>
  <w:endnote w:type="continuationSeparator" w:id="0">
    <w:p w14:paraId="4FD45C45" w14:textId="77777777" w:rsidR="00DC5EF2" w:rsidRDefault="00DC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33FB" w14:textId="77777777" w:rsidR="00EC0D1F" w:rsidRDefault="00000000">
    <w:pPr>
      <w:jc w:val="center"/>
    </w:pPr>
    <w:r>
      <w:rPr>
        <w:color w:val="666666"/>
        <w:sz w:val="18"/>
        <w:szCs w:val="18"/>
      </w:rPr>
      <w:t xml:space="preserve">Página </w:t>
    </w:r>
    <w:r>
      <w:rPr>
        <w:color w:val="666666"/>
        <w:sz w:val="18"/>
        <w:szCs w:val="18"/>
      </w:rPr>
      <w:fldChar w:fldCharType="begin"/>
    </w:r>
    <w:r>
      <w:rPr>
        <w:color w:val="666666"/>
        <w:sz w:val="18"/>
        <w:szCs w:val="18"/>
      </w:rPr>
      <w:instrText>PAGE</w:instrText>
    </w:r>
    <w:r>
      <w:rPr>
        <w:color w:val="666666"/>
        <w:sz w:val="18"/>
        <w:szCs w:val="18"/>
      </w:rPr>
      <w:fldChar w:fldCharType="separate"/>
    </w:r>
    <w:r w:rsidR="008768D1">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85EE3" w14:textId="77777777" w:rsidR="00DC5EF2" w:rsidRDefault="00DC5EF2">
      <w:r>
        <w:separator/>
      </w:r>
    </w:p>
  </w:footnote>
  <w:footnote w:type="continuationSeparator" w:id="0">
    <w:p w14:paraId="010CA110" w14:textId="77777777" w:rsidR="00DC5EF2" w:rsidRDefault="00DC5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A81E" w14:textId="77777777" w:rsidR="00EC0D1F" w:rsidRDefault="00000000">
    <w:pPr>
      <w:jc w:val="right"/>
    </w:pPr>
    <w:r>
      <w:rPr>
        <w:color w:val="666666"/>
        <w:sz w:val="18"/>
        <w:szCs w:val="18"/>
      </w:rPr>
      <w:t>Guia de Uso Ético de Inteligência Artificial em Pesquisa com Seres Humanos  ·  Validação Local (documento MARIAH)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0752C"/>
    <w:multiLevelType w:val="hybridMultilevel"/>
    <w:tmpl w:val="EE9A3C32"/>
    <w:lvl w:ilvl="0" w:tplc="DADCC27C">
      <w:start w:val="1"/>
      <w:numFmt w:val="bullet"/>
      <w:lvlText w:val="●"/>
      <w:lvlJc w:val="left"/>
      <w:pPr>
        <w:ind w:left="720" w:hanging="360"/>
      </w:pPr>
    </w:lvl>
    <w:lvl w:ilvl="1" w:tplc="CBDEABEC">
      <w:start w:val="1"/>
      <w:numFmt w:val="bullet"/>
      <w:lvlText w:val="○"/>
      <w:lvlJc w:val="left"/>
      <w:pPr>
        <w:ind w:left="1440" w:hanging="360"/>
      </w:pPr>
    </w:lvl>
    <w:lvl w:ilvl="2" w:tplc="EAEE319C">
      <w:start w:val="1"/>
      <w:numFmt w:val="bullet"/>
      <w:lvlText w:val="■"/>
      <w:lvlJc w:val="left"/>
      <w:pPr>
        <w:ind w:left="2160" w:hanging="360"/>
      </w:pPr>
    </w:lvl>
    <w:lvl w:ilvl="3" w:tplc="98929672">
      <w:start w:val="1"/>
      <w:numFmt w:val="bullet"/>
      <w:lvlText w:val="●"/>
      <w:lvlJc w:val="left"/>
      <w:pPr>
        <w:ind w:left="2880" w:hanging="360"/>
      </w:pPr>
    </w:lvl>
    <w:lvl w:ilvl="4" w:tplc="14E288C6">
      <w:start w:val="1"/>
      <w:numFmt w:val="bullet"/>
      <w:lvlText w:val="○"/>
      <w:lvlJc w:val="left"/>
      <w:pPr>
        <w:ind w:left="3600" w:hanging="360"/>
      </w:pPr>
    </w:lvl>
    <w:lvl w:ilvl="5" w:tplc="8ABA9910">
      <w:start w:val="1"/>
      <w:numFmt w:val="bullet"/>
      <w:lvlText w:val="■"/>
      <w:lvlJc w:val="left"/>
      <w:pPr>
        <w:ind w:left="4320" w:hanging="360"/>
      </w:pPr>
    </w:lvl>
    <w:lvl w:ilvl="6" w:tplc="8D56844A">
      <w:start w:val="1"/>
      <w:numFmt w:val="bullet"/>
      <w:lvlText w:val="●"/>
      <w:lvlJc w:val="left"/>
      <w:pPr>
        <w:ind w:left="5040" w:hanging="360"/>
      </w:pPr>
    </w:lvl>
    <w:lvl w:ilvl="7" w:tplc="B158F9D0">
      <w:start w:val="1"/>
      <w:numFmt w:val="bullet"/>
      <w:lvlText w:val="●"/>
      <w:lvlJc w:val="left"/>
      <w:pPr>
        <w:ind w:left="5760" w:hanging="360"/>
      </w:pPr>
    </w:lvl>
    <w:lvl w:ilvl="8" w:tplc="23E6A6D8">
      <w:start w:val="1"/>
      <w:numFmt w:val="bullet"/>
      <w:lvlText w:val="●"/>
      <w:lvlJc w:val="left"/>
      <w:pPr>
        <w:ind w:left="6480" w:hanging="360"/>
      </w:pPr>
    </w:lvl>
  </w:abstractNum>
  <w:num w:numId="1" w16cid:durableId="20135580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9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1F"/>
    <w:rsid w:val="003C2BBA"/>
    <w:rsid w:val="00421661"/>
    <w:rsid w:val="0046755D"/>
    <w:rsid w:val="0059027D"/>
    <w:rsid w:val="00640741"/>
    <w:rsid w:val="008768D1"/>
    <w:rsid w:val="00CF61F7"/>
    <w:rsid w:val="00DC5EF2"/>
    <w:rsid w:val="00EC0D1F"/>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4C8CB04C"/>
  <w15:docId w15:val="{61D05A85-218A-F74A-A09F-F7B51DB5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sz w:val="30"/>
      <w:szCs w:val="30"/>
    </w:rPr>
  </w:style>
  <w:style w:type="paragraph" w:styleId="Heading2">
    <w:name w:val="heading 2"/>
    <w:uiPriority w:val="9"/>
    <w:unhideWhenUsed/>
    <w:qFormat/>
    <w:pPr>
      <w:spacing w:before="280" w:after="16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1952</Words>
  <Characters>11890</Characters>
  <Application>Microsoft Office Word</Application>
  <DocSecurity>0</DocSecurity>
  <Lines>237</Lines>
  <Paragraphs>131</Paragraphs>
  <ScaleCrop>false</ScaleCrop>
  <HeadingPairs>
    <vt:vector size="2" baseType="variant">
      <vt:variant>
        <vt:lpstr>Title</vt:lpstr>
      </vt:variant>
      <vt:variant>
        <vt:i4>1</vt:i4>
      </vt:variant>
    </vt:vector>
  </HeadingPairs>
  <TitlesOfParts>
    <vt:vector size="1" baseType="lpstr">
      <vt:lpstr>Validação Local (Caderno 2) — Guia de Validação Local da MARIAH pelos CEPs</vt:lpstr>
    </vt:vector>
  </TitlesOfParts>
  <Company/>
  <LinksUpToDate>false</LinksUpToDate>
  <CharactersWithSpaces>13711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Validação Local (Caderno 2) — Guia de Validação Local da MARIAH pelos CEPs</dc:title>
  <dc:creator>Fabiano Tonaco Borges</dc:creator>
  <dc:description>Validação Local da MARIAH — Caderno 2 do Guia de Uso Ético de Inteligência Artificial da Inteligência Artificial em Pesquisa com Seres Humanos</dc:description>
  <cp:lastModifiedBy>Fabiano Tonaco Borges</cp:lastModifiedBy>
  <cp:revision>4</cp:revision>
  <dcterms:created xsi:type="dcterms:W3CDTF">2026-05-26T13:46:00Z</dcterms:created>
  <dcterms:modified xsi:type="dcterms:W3CDTF">2026-05-27T11:50:00Z</dcterms:modified>
</cp:coreProperties>
</file>