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rFonts w:ascii="Arial" w:hAnsi="Arial"/>
          <w:b/>
          <w:i w:val="0"/>
          <w:color w:val="0F766E"/>
          <w:sz w:val="40"/>
        </w:rPr>
        <w:t>MARIAH</w:t>
      </w:r>
    </w:p>
    <w:p>
      <w:r>
        <w:rPr>
          <w:rFonts w:ascii="Arial" w:hAnsi="Arial"/>
          <w:b/>
          <w:i w:val="0"/>
          <w:sz w:val="26"/>
        </w:rPr>
        <w:t>Instruções de Preenchimento</w:t>
      </w:r>
    </w:p>
    <w:p>
      <w:r>
        <w:rPr>
          <w:rFonts w:ascii="Arial" w:hAnsi="Arial"/>
          <w:b/>
          <w:i w:val="0"/>
          <w:color w:val="0F766E"/>
          <w:sz w:val="24"/>
        </w:rPr>
        <w:t>Versão A — Qualitativa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Percurso por cinco eixos (mais o Eixo 3.b condicional)</w:t>
      </w:r>
    </w:p>
    <w:p>
      <w:pPr>
        <w:spacing w:after="120"/>
      </w:pPr>
      <w:r>
        <w:rPr>
          <w:rFonts w:ascii="Arial" w:hAnsi="Arial"/>
          <w:b w:val="0"/>
          <w:i/>
          <w:color w:val="555555"/>
          <w:sz w:val="19"/>
        </w:rPr>
        <w:t>Matriz de Avaliação de Risco em Inteligência Artificial em Pesquisa com Seres Humanos</w:t>
      </w:r>
    </w:p>
    <w:p>
      <w:pPr>
        <w:spacing w:after="120"/>
      </w:pPr>
      <w:r>
        <w:rPr>
          <w:rFonts w:ascii="Arial" w:hAnsi="Arial"/>
          <w:b w:val="0"/>
          <w:i/>
          <w:color w:val="555555"/>
          <w:sz w:val="17"/>
        </w:rPr>
        <w:t>Documento gerado a partir da especificação canônica da matriz (v2). Versão aprovada pela INAEP em 16/09/2026 (Voto nº 25/2026) e publicada em 25/09/2026 — em período de uso e teste pelos CEPs.</w:t>
      </w:r>
    </w:p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1. Como funciona a Versão A</w:t>
      </w:r>
    </w:p>
    <w:p>
      <w:pPr>
        <w:spacing w:after="120"/>
      </w:pPr>
      <w:r>
        <w:rPr>
          <w:rFonts w:ascii="Arial" w:hAnsi="Arial"/>
          <w:b w:val="0"/>
          <w:i w:val="0"/>
          <w:sz w:val="21"/>
        </w:rPr>
        <w:t>A Versão A é qualitativa: perguntas de resposta binária, organizadas em cinco eixos temáticos, percorridos em sequência. Em cada eixo, qualquer resposta de risco eleva o nível do eixo; o nível final do protocolo é o MÁXIMO entre os eixos — o risco só sobe, nunca desce.</w:t>
      </w:r>
    </w:p>
    <w:p>
      <w:pPr>
        <w:spacing w:after="120"/>
      </w:pPr>
      <w:r>
        <w:rPr>
          <w:rFonts w:ascii="Arial" w:hAnsi="Arial"/>
          <w:b w:val="0"/>
          <w:i w:val="0"/>
          <w:sz w:val="21"/>
        </w:rPr>
        <w:t>Mecanismos: (a) a regra especial do Eixo 3.b (banco de dados, Res. CNS n.º 738/2024): 0 respostas de risco → Nível I; 1–2 → Nível III; 3 ou mais → Nível IV; (b) a eliminatória de cadeia de custódia (3.b.2), que torna o protocolo “não avaliável pela MARIAH”; (c) os itens de diligência do Eixo 3.b, que não pontuam e, quando não atendidos, devolvem o protocolo ao pesquisador; e (d) a diligência de novo consentimento (2.10), eliminatória para sistemas adaptativos sem plano de novo consentimento. Na Versão A as mitigações não alteram o nível.</w:t>
      </w:r>
    </w:p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Passo 0 — Filtro de banco de dados (Res. CNS n.º 738/2024)</w:t>
      </w:r>
    </w:p>
    <w:p>
      <w:pPr>
        <w:spacing w:after="120"/>
      </w:pPr>
      <w:r>
        <w:rPr>
          <w:rFonts w:ascii="Arial" w:hAnsi="Arial"/>
          <w:b w:val="0"/>
          <w:i w:val="0"/>
          <w:sz w:val="21"/>
        </w:rPr>
        <w:t>O protocolo utiliza banco de dados — próprio, de outra pesquisa ou de instituição externa?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Este filtro ativa a subseção Res. CNS n.º 738/2024 (Eixo 3.b na Versão A e Bloco 6.b na Versão B). Bancos abrangem dados coletados fora do escopo direto de cada participante desta pesquisa. Não marque "Sim" quando o protocolo coleta dados exclusivamente no escopo da pesquisa com cada participante.</w:t>
      </w:r>
    </w:p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Caracterização do contexto de uso (não pontua)</w:t>
      </w:r>
    </w:p>
    <w:p>
      <w:pPr>
        <w:spacing w:after="120"/>
      </w:pPr>
      <w:r>
        <w:rPr>
          <w:rFonts w:ascii="Arial" w:hAnsi="Arial"/>
          <w:b w:val="0"/>
          <w:i w:val="0"/>
          <w:sz w:val="19"/>
        </w:rPr>
        <w:t>Antes da pontuação, o protocolo responde a oito perguntas descritivas obrigatórias. Não pontuam e não determinam o nível por si mesmas: delimitam o objeto da avaliação e modulam a leitura dos eixos/blocos.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47"/>
        <w:gridCol w:w="8391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descritiva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C.1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Qual é a pergunta que o sistema de IA foi desenvolvido para responder neste protocolo?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Descreva a pergunta principal que o sistema de IA busca responder no contexto do estudo. Ex.: "O sistema prevê o risco de readmissão hospitalar em 30 dias para pacientes com insuficiência cardíaca?"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C.2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O sistema responde a essa pergunta de forma autônoma ou subsidia uma decisão tomada por um ser humano?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Indique se o sistema toma a decisão de forma autônoma (sem intervenção humana obrigatória) ou se fornece subsídios para que um profissional tome a decisão final.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C.3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Qual é o estado de identificação dos dados pessoais utilizados neste protocolo?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O estado de identificação modula a leitura do Eixo 3 / Bloco 6 e condiciona a pergunta C.5 (momento da anonimização).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C.4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Qual é o volume aproximado de registros de participantes utilizados neste protocolo?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Volume informa a avaliação de reidentificação (3.5 / P6.3) e o potencial de uso em treinamento. Não há faixa 'segura' — o CEP lê o número no contexto.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C.5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Em que momento ocorre a anonimização dos dados em relação ao acesso pelos pesquisadores?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Se a anonimização é feita pelos pesquisadores após o acesso, há etapa de tratamento de dados identificáveis que exige salvaguardas e justificativa — ler em conjunto com o Eixo 3.b / Bloco 6.b e com a ficha.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C.6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Qual é o papel do sistema de IA neste protocolo?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IA como objeto de desenvolvimento eleva riscos de reutilização, inferência e governança. O CEP registra a distinção no parecer; a modulação do nível de risco, se um dia adotada, exigirá validação própria.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C.7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Qual é o destino previsto do modelo de IA utilizado ou desenvolvido neste protocolo?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Se o destino é uso futuro/amplo ou compartilhamento, ler em conjunto com 3.3/P6.4 (consentimento para treinamento) e com o Eixo 3.b / Bloco 6.b.</w:t>
            </w:r>
          </w:p>
        </w:tc>
      </w:tr>
      <w:tr>
        <w:tc>
          <w:tcPr>
            <w:tcW w:type="dxa" w:w="1247"/>
          </w:tcPr>
          <w:p>
            <w:r>
              <w:rPr>
                <w:rFonts w:ascii="Arial" w:hAnsi="Arial"/>
                <w:b/>
                <w:i w:val="0"/>
                <w:sz w:val="19"/>
              </w:rPr>
              <w:t>C.8</w:t>
            </w:r>
          </w:p>
        </w:tc>
        <w:tc>
          <w:tcPr>
            <w:tcW w:type="dxa" w:w="8391"/>
          </w:tcPr>
          <w:p>
            <w:r>
              <w:rPr>
                <w:rFonts w:ascii="Arial" w:hAnsi="Arial"/>
                <w:b w:val="0"/>
                <w:i w:val="0"/>
                <w:sz w:val="19"/>
              </w:rPr>
              <w:t>Haverá compartilhamento do banco de dados, total ou parcial, com terceiros além das instituições participantes do protocolo?</w:t>
            </w:r>
          </w:p>
          <w:p>
            <w:r>
              <w:rPr>
                <w:rFonts w:ascii="Arial" w:hAnsi="Arial"/>
                <w:b w:val="0"/>
                <w:i w:val="0"/>
                <w:color w:val="555555"/>
                <w:sz w:val="17"/>
              </w:rPr>
              <w:t>Se houver compartilhamento, ler em conjunto com 3.b.5/P6.b.5 (acordo formal) e 3.2/P6.2 (transferência internacional).</w:t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2. Questões por eixo</w:t>
      </w:r>
    </w:p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Eixo 1: Natureza e Autonomia do Sistema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Avalia o grau de autonomia do sistema, sua capacidade adaptativa e os riscos associados à sua natureza técnica.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8"/>
        <w:gridCol w:w="7030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e orientação para preenchimento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1.1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toma decisões ou emite recomendações sem intervenção humana obrigatória antes da execução?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revisão humana obrigatória antes da execução, não há barreira de segurança entre a recomendação do sistema e a ação sobre o participante — um erro chega ao participante sem filtro. Quanto maior a autonomia decisória, maior o risco.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1.2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é adaptativo — aprende ou se atualiza com novos dados durante a condução do estudo ou após o seu encerramento?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Sistemas que aprendem ou se atualizam durante o estudo podem mudar de comportamento ao longo do tempo, gerando resultados diferentes dos validados no início — o que introduz incerteza sobre o que o participante de fato receberá. Sistema adaptativo altera, durante o estudo, o próprio objeto sobre o qual o participante consentiu. O protocolo deve definir um limiar de mudança (de desempenho ou de comportamento do sistema) que, quando ultrapassado, dispara a obtenção de novo consentimento e a comunicação ao CEP. Sem esse plano, o consentimento obtido no início perde validade contínua (Lei n.º 14.874/2024 — consentimento prévio; LGPD — autodeterminação informativa). Nota: a verificação abrange atualizações, recalibrações e substituições do sistema, durante o estudo ou após o seu encerramento; se o aprendizado continua após o encerramento, verificar 5.8/P7.7 (retreinamento autorizado) e o plano de novo consentimento (2.10/P2.8).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1.3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Em caso de falha ou erro do sistema, o dano ao participante seria de difícil reversão?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Quando o erro do sistema produz dano de difícil reversão (ex.: conduta cirúrgica indevida), o risco é maior do que em danos reparáveis, porque a correção posterior não restaura o participante ao estado anterior.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1.4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foi desenvolvido e validado fora do contexto em que será utilizado neste protocolo?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Um sistema desenvolvido e validado em outro contexto (outra população, outro cenário assistencial) pode não manter o desempenho na realidade deste protocolo, gerando erros não detectados na validação original.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1.5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pesquisador tem acesso às informações necessárias para contestar a recomendação do sistema?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 o profissional não tem acesso às informações necessárias para contestar a recomendação, a supervisão humana é apenas simbólica — existe no papel, mas não barra um erro. É a ausência desse acesso que eleva o risco.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1.6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define claramente o que acontece quando a decisão do sistema diverge do julgamento humano?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regra definida para quando a decisão do sistema diverge do julgamento humano, cria-se uma zona cinzenta de responsabilidade que pode atrasar a correção e prejudicar o participante.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1.7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é explicável — é possível compreender por que chegou a determinado resultado?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Sistemas opacos (caixa-preta) dificultam identificar vieses e erros e atribuir responsabilidade. A falta de explicabilidade reduz a capacidade de supervisão — é o que caracteriza o risco aqui.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1.8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foi submetido a testes de desempenho documentados antes do uso no protocolo?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testes de desempenho documentados antes do uso, não há evidência de que o sistema é seguro e eficaz no contexto proposto; o protocolo passa a depender de um desempenho presumido, não demonstrado.</w:t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Eixo 2: Impacto sobre a Pessoa Participante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Avalia os potenciais danos físicos, psíquicos, sociais e econômicos ao participante, bem como a proteção de populações vulneráveis.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8"/>
        <w:gridCol w:w="7030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e orientação para preenchimento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2.1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influencia diretamente decisões clínicas ou terapêuticas sobre o participante?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Quando o sistema influencia diretamente decisões clínicas ou terapêuticas, um erro se traduz em conduta inadequada sobre o participante — o impacto potencial sobre a pessoa é maior.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2.2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pode causar dano físico ao participante em caso de erro?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possibilidade de dano físico em caso de erro é a forma mais grave de impacto e exige mecanismos robustos de segurança e supervisão.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2.3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pode causar dano psíquico, social ou econômico ao participante em caso de erro?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Danos não físicos — psíquicos, sociais ou econômicos — também são eticamente relevantes, sobretudo quando afetam a vida social, o emprego ou a renda do participante.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2.4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envolve populações vulneráveis: crianças, gestantes, idosos, pessoas com deficiência, povos indígenas ou comunidades em situação de vulnerabilidade socioeconômica?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Populações vulneráveis (crianças, gestantes, idosos, pessoas com deficiência, povos indígenas, vulnerabilidade socioeconômica) exigem proteção adicional, pois podem ter menor capacidade de compreender riscos ou contestar decisões.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2.5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infere características sensíveis do participante: raça/cor, etnia, condição de saúde, orientação sexual, que não foram explicitamente coletadas?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Inferir características sensíveis (raça/cor, etnia, saúde, orientação sexual) que não foram explicitamente coletadas contraria a autonomia informativa do participante e pode gerar discriminação.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2.6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Os efeitos de um erro do sistema sobre o participante são reversíveis?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pergunta verifica a reversibilidade: quando os efeitos de um erro NÃO são reversíveis, o risco aumenta de forma significativa, pois não há reparação integral possível.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2.7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TCLE informa ao participante, de forma compreensível, que um sistema de IA será utilizado no protocolo e qual é o seu papel?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 o TCLE não informa, de forma compreensível, que um sistema de IA será usado e qual o seu papel, viola-se a transparência e a autonomia — o participante consente sem saber a que está consentindo.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2.8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prevê mecanismo para que o participante retire o consentimento, com exclusão de seus dados das bases do estudo e garantia de não utilização em treinamentos ou retreinamentos futuros?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retirada de consentimento é direito do participante (Lei n.º 14.874/2024; LGPD, art. 8.º, §5.º, e art. 18). Em modelos já treinados, a remoção retroativa da influência de um dado específico tem limites técnicos: o modelo não armazena os dados, mas pesos estatísticos aprendidos, e as técnicas de desaprendizado de máquina ainda são incipientes. Por isso, o protocolo deve garantir três compromissos verificáveis: (1) exclusão dos dados do participante das bases do estudo e bloqueio de seu uso em qualquer treinamento ou retreinamento futuro; (2) declaração clara desses limites técnicos no TCLE, em linguagem compreensível; (3) salvaguardas de não-memorização — curadoria e minimização dos dados antes do treino e testes documentados de que o modelo não reproduz nem vaza dados de participantes. A ausência de mecanismo com esses três compromissos configura risco.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2.9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descreve como os resultados gerados pela IA serão comunicados ao participante, quando aplicável?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ausência de descrição sobre como os resultados da IA serão comunicados ao participante compromete a transparência e o exercício da autonomia. Inclui o direito do participante à devolutiva dos resultados da pesquisa e à informação sobre eventual repercussão em sua condição de saúde, quando aplicável (LGPD; Lei n.º 14.874/2024).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2.10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ELIMINATÓRIA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Diligência (devolução)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admite “não se aplica”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Se o sistema é adaptativo (1.2 = Sim): o protocolo apresenta plano de novo consentimento — com limiar definido, procedimento e responsável — para o caso de o sistema se atualizar ou mudar de comportamento durante o estudo?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Sistema adaptativo é aquele que continua aprendendo ou muda de comportamento durante o estudo — por exemplo, um modelo que se reajusta com novos dados (aprendizado contínuo), em vez de permanecer "congelado" após a validação. Por que novo consentimento: o participante consentiu com um sistema que funcionava de certo modo; se ele muda de forma relevante, mudam os riscos e a própria natureza do que foi aceito — então a autonomia exige informá-lo e obter novo consentimento. Por isso se pede um plano com limiar de mudança definido, procedimento e responsável. Item de diligência com efeito impeditivo: NÃO altera a pontuação do Eixo 2 (não eleva o nível), mas a ausência do plano bloqueia o parecer — protocolo não avaliável no mérito —, em convergência com a P2.8 da Versão B. Aplicável quando o sistema é adaptativo (1.2 = Sim); marque "Não se aplica" quando 1.2 = Não. A obtenção de novo consentimento é exigência legal (Lei n.º 14.874/2024 — consentimento prévio; LGPD — autodeterminação informativa) e, por isso, não é compensável por pontos.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2.11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Os resultados da pesquisa podem gerar estigmatização de grupos ou populações?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Avaliar o dano mesmo sem identificação individual: estigmatização decorre da atribuição de características ao grupo.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2.12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Há risco de discriminação de indivíduos ou grupos como consequência do uso dos resultados produzidos pelo sistema?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Distinguir de 4.3/P3.6: equidade mede desempenho desigual do modelo; esta pergunta mede dano discriminatório decorrente do uso.</w:t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Eixo 3: Sensibilidade e Governança dos Dados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Avalia o grau de sensibilidade dos dados processados, a conformidade com a LGPD e os mecanismos de proteção de dados.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8"/>
        <w:gridCol w:w="7030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e orientação para preenchimento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processa dados pessoais sensíveis: saúde (inclusive saúde mental), genética, biometria, dados de localização, raça, etnia, religião, vida sexual?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O processamento de dados pessoais sensíveis (saúde, genética, biometria, raça/cor, etnia, religião, vida sexual) exige proteção reforçada e base legal específica na LGPD; o risco à privacidade é inerentemente maior.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Os dados são transferidos ou processados em servidores fora do Brasil?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Transferir ou processar dados em servidores fora do Brasil exige avaliar a adequação do país de destino e adotar salvaguardas adicionais, pois reduz a governança nacional sobre os dados.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consentimento obtido cobre explicitamente o uso dos dados para treinamento ou retreinamento de modelos de IA?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Consentimento genérico não basta para treinar ou retreinar modelos: é preciso consentimento específico e informado para esse uso. A ausência dele é o que configura o risco.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3.4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demonstra conformidade com a LGPD: base legal identificada, finalidade declarada, Encarregado de Dados (DPO) indicado?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base legal identificada, finalidade declarada e Encarregado (DPO) indicado, o protocolo não demonstra conformidade com a LGPD, expondo participantes e instituição a riscos legais e éticos.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3.5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Existe risco real de reidentificação dos participantes a partir dos dados utilizados ou gerados pelo sistema?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Quando há risco real de reidentificação a partir dos dados usados ou gerados, a promessa de anonimato fica comprometida e os danos potenciais à privacidade aumentam.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3.6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prevê plano de resposta a incidentes de segurança envolvendo os dados processados pela IA?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plano de resposta a incidentes de segurança, um vazamento ou acesso indevido pode não ser contido a tempo, agravando os danos aos participantes.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3.7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Os dados de treinamento do modelo foram coletados com consentimento compatível com o uso previsto neste protocolo?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 os dados de treinamento foram coletados para outra finalidade, podem não ter base legal para uso em IA neste protocolo, caracterizando uso secundário inadequado.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3.8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descreve como os dados serão armazenados, por quanto tempo e como serão descartados ao final do estudo?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ausência de política de armazenamento, retenção e descarte abre espaço para uso indevido dos dados depois de encerrado o estudo.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3.9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restringe o acesso aos dados identificáveis ao estritamente necessário, com controle de acesso por perfil e identificação dos responsáveis?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resposta deve indicar quem acessa, com qual perfil e sob qual registro.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3.10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prevê registro (log) auditável das operações de tratamento de dados e de inferência realizadas pelo sistema?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Log auditável = registro íntegro, datado e atribuível das operações, consultável em fiscalização. Nota: quando o sistema gerar inferências clínicas, diagnósticas ou preditivas (ver 2.1/P5.1), o log deve permitir rastrear, por decisão: identificador da inferência, versão/configuração do modelo, dados de entrada (ou referência pseudonimizada a eles), saída do sistema e operador humano responsável.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3.11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descreve o ambiente computacional de processamento e seus controles mínimos de segurança (isolamento, criptografia e, quando houver, certificações)?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Não exigir certificação específica: exigir descrição do ambiente e dos controles. Certificação é evidência, não condição. Nota: quando o processamento depender de provedor externo (nuvem, serviço de IA ou modelo de terceiro), a descrição do ambiente inclui as condições contratuais de uso dos dados pelo provedor: vedação de reuso, treinamento ou retenção para finalidade própria; garantias de confidencialidade; e portabilidade/saída (vendor lock-in), proporcionais ao risco. Verificar 3.2/P6.2 e 3.3/P6.4.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3.12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admite “não se aplica”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Os dados do protocolo serão vinculados (linkage) a outras bases de dados, próprias ou externas?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 houver linkage, a avaliação de reidentificação (3.5 / P6.3) deve considerar explicitamente o cruzamento das bases envolvidas.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3.13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admite “não se aplica”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Para sistemas com processamento de linguagem natural, grandes modelos de linguagem ou geração de dados sintéticos: há testes documentados de robustez contra memorização e extração de dados de treinamento (ataques de extração ou de inferência de pertencimento)?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Aplicável apenas a PLN/LLM/dados sintéticos (N/A nos demais casos).</w:t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Eixo 3.b: Bancos de Dados de Pesquisa (Res. CNS n.º 738/2024)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Subseção aplicável quando o protocolo utiliza bancos de dados (próprios, de outra pesquisa ou de instituição externa). Deriva da Resolução CNS n.º 738/2024 e complementa o Eixo 3. Pode elevar o nível consolidado do protocolo.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8"/>
        <w:gridCol w:w="7030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e orientação para preenchimento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3.b.1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identifica o Controlador do banco de dados (art. 3.º, IV da Res. CNS n.º 738/2024), com cargo, função e instituição vinculada?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Identifica o Controlador do banco (Arts. 3.º, IV e 9.º da Res. CNS n.º 738/2024), com cargo, função e instituição. Sem isso, não há cadeia de custódia formalizada sobre os dados. No Eixo 3.b (Salvaguarda da Res. 738), uma única resposta de risco já leva o eixo ao Nível III — não há categoria intermediária para bancos de dados.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3.b.2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ELIMINATÓRIA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admite “não se aplica”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Se o banco foi constituído fora do âmbito de pesquisa (origem não-investigativa: prontuários, registros, bases administrativas): há Termo de Anuência Institucional (Art. 27, VI da Res. CNS n.º 738/2024) assinado pelo responsável (dirigente ou pessoa por ele delegada) da instituição detentora dos dados?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Verifica o Termo de Anuência Institucional (Art. 27, VI da Res. CNS n.º 738/2024), assinado pelo responsável (dirigente ou pessoa por ele delegada) da instituição de onde os dados provêm — exigível apenas para banco constituído fora do âmbito de pesquisa (origem não-investigativa: prontuários, registros, bases administrativas). Salvaguarda de Inavaliabilidade: nesse caso, sua ausência torna o protocolo "não avaliável pela MARIAH" (§7.3.6), sobrescrevendo a classificação e exigindo análise individualizada do CEP. Marque "Não se aplica" quando o banco foi constituído no âmbito de pesquisa — inclusive reuso de banco de pesquisa anterior do próprio pesquisador —, hipótese regida pelo Art. 24 (Termo de Compromisso de Uso de Dados), que não exige Anuência.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3.b.3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Termo de Compromisso de Uso de Dados (Arts. 24, V e 27, V), assinado pelos pesquisadores, consta do dossiê do protocolo?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Confirma o Termo de Compromisso de Uso de Dados, assinado pelos pesquisadores (Arts. 24, V e 27, V da Res. CNS n.º 738/2024), que assumem responsabilidade sobre finalidade, confidencialidade e descarte. É distinto do Termo de Anuência (3.b.2): o Compromisso é dos pesquisadores; a Anuência, do responsável (dirigente ou pessoa por ele delegada) da instituição detentora. No Eixo 3.b, uma única resposta de risco já eleva o eixo ao Nível III.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3.b.4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admite “não se aplica”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Se há pedido de dispensa de TCLE para uso futuro de dados: o protocolo identifica a origem do banco e indica expressamente a hipótese invocada da Res. CNS n.º 738/2024, e a fundamenta? Para banco constituído fora do âmbito da pesquisa (art. 27), a única via é a anonimização pelo Controlador (art. 20, § 5.º). Para banco constituído no âmbito da pesquisa, o art. 25 admite quatro situações: (i) dados coletados originalmente sem identificação do participante; (ii) consentimento prévio do participante, manifestado em TCLE de pesquisa anterior, para uso em pesquisas futuras, na forma do art. 40, X, da Lei n.º 14.874/2024; (iii) compartilhamento de dados anonimizados pelo Controlador; (iv) anonimização irreversível dos dados no protocolo original, hipótese em que o dado deixa de ser dado pessoal (art. 12 da LGPD).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dispensa de TCLE para uso futuro não é automática: exige enquadramento na hipótese cabível segundo a origem do banco (Res. CNS n.º 738/2024). Banco constituído fora do âmbito da pesquisa → única via é a anonimização pelo Controlador (art. 20, § 5.º). Banco constituído no âmbito da pesquisa → art. 25, quatro situações. Justificativa genérica não basta.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3.b.5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Se o protocolo é multicêntrico, envolve mais de uma instituição ou prevê compartilhamento do banco com terceiros: há acordo formal de compartilhamento ou controladoria conjunta formalizada em Termo de Acordo Institucional (art. 3.º, XVI e § 2.º do art. 12)?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Em pesquisa multicêntrica, a controladoria conjunta dos dados deve estar formalizada em Termo de Acordo Institucional (Art. 3.º, XVI e §2.º do Art. 12 da Res. CNS n.º 738/2024). No Eixo 3.b, uma única resposta de risco já leva o eixo ao Nível III.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3.b.4.1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ELIMINATÓRIA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Diligência (devolução)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Condicional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Se há pedido de dispensa de TCLE com acesso a dados identificáveis: o acesso é indispensável ao alcance dos objetivos científicos da pesquisa, ou a mesma finalidade poderia ser atingida mediante dados previamente anonimizados ou pseudonimizados pela instituição custodiante?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 a finalidade é atingível sem dados identificáveis e o protocolo ainda assim os requer, o CEP devolve para justificativa ou redirecionamento à anonimização pelo Controlador (art. 20, § 5º).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3.b.7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ELIMINATÓRIA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Diligência (devolução)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Condicional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atende cumulativamente a todos os critérios para dispensa de TCLE em pesquisa com IA sobre bancos de dados? (i) dados secundários obtidos licitamente; (ii) pesquisa retrospectiva, sem contato com participantes; (iii) impossibilidade prática de obtenção do TCLE devidamente justificada; (iv) risco mínimo aos participantes; (v) acesso a dados identificáveis limitado ao estritamente necessário, preferencialmente dados pseudonimizados/anonimizados pelo custodiante; (vi) ambiente seguro de processamento, com controles de acesso, auditoria e governança; (vii) avaliação documentada do risco de reidentificação e de inferência decorrente do uso da IA; (viii) inexistência de decisões ou intervenções individualizadas sobre os participantes com base nos resultados da IA; (ix) finalidade científica delimitada, vedado o treinamento de modelos de propósito geral sem nova apreciação ética.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O checklist não gradua risco: verifica admissibilidade da dispensa. A pontuação do protocolo segue pelos demais blocos.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3.b.6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ELIMINATÓRIA</w:t>
            </w:r>
          </w:p>
          <w:p>
            <w:r>
              <w:rPr>
                <w:rFonts w:ascii="Arial" w:hAnsi="Arial"/>
                <w:b w:val="0"/>
                <w:i/>
                <w:color w:val="555555"/>
                <w:sz w:val="16"/>
              </w:rPr>
              <w:t>Diligência (devolução)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apresenta declaração do Controlador com o compromisso de anonimização dos dados antes da disponibilização do banco?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Documento obrigatório do dossiê de submissão; a verificação é de presença e validade da declaração.</w:t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Eixo 4: Representatividade e Transferibilidade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Avalia se os dados de treinamento representam adequadamente a população-alvo e se o modelo foi validado no contexto de uso.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8"/>
        <w:gridCol w:w="7030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e orientação para preenchimento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4.1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Os dados de treinamento do modelo incluem representação adequada da diversidade da população-alvo deste protocolo — raça, etnia, gênero, faixa etária, região geográfica?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 os dados de treinamento não representam a diversidade da população-alvo (raça/cor, etnia, gênero, idade, região), o modelo pode produzir resultados enviesados e discriminatórios para os subgrupos sub-representados.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4.2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modelo foi desenvolvido fora do Brasil para uso em população brasileira sem validação local documentada?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Um modelo desenvolvido fora do Brasil e usado em população brasileira sem validação local pode não refletir o perfil epidemiológico e socioeconômico nacional, degradando o desempenho real.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4.3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apresenta avaliação de desempenho do modelo por subgrupos populacionais relevantes?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avaliação de desempenho por subgrupos populacionais relevantes, disparidades que afetam grupos específicos passam despercebidas — o desempenho médio pode esconder falhas localizadas.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4.4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modelo foi treinado predominantemente em dados de populações de alta renda ou de países do hemisfério norte?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Modelos treinados predominantemente em populações de alta renda ou do hemisfério norte podem não representar a realidade socioeconômica e epidemiológica brasileira.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4.5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descreve os dados usados no treinamento do modelo: origem, período de coleta, critérios de inclusão e exclusão?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A descrição de origem, período de coleta e critérios de inclusão/exclusão dos dados de treinamento é o que permite avaliar a qualidade e a representatividade do modelo; sua ausência impede esse julgamento.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4.6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Os dados de teste do modelo são independentes dos dados de treinamento?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 os dados de teste não são independentes dos de treinamento, o desempenho relatado tende a ser superestimado e não se confirma no uso real.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4.7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prevê monitoramento de degradação de desempenho do modelo ao longo do tempo (deriva de dados-data drift) caso seja utilizado em contexto de aplicação continuada?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Em uso continuado, sem monitorar a deriva de dados (data drift) o modelo pode degradar silenciosamente, gerando resultados cada vez menos confiáveis sem que a equipe perceba.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4.8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desempenho do modelo foi validado em contexto assistencial comparável ao SUS ou ao sistema de saúde em que será utilizado?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Validação em contexto diferente não garante desempenho adequado no cenário real de uso; a aderência ao contexto assistencial (ex.: SUS) é o que sustenta a transferibilidade.</w:t>
            </w:r>
          </w:p>
        </w:tc>
      </w:tr>
    </w:tbl>
    <w:p>
      <w:pPr>
        <w:spacing w:before="200" w:after="80"/>
      </w:pPr>
      <w:r>
        <w:rPr>
          <w:rFonts w:ascii="Arial" w:hAnsi="Arial"/>
          <w:b/>
          <w:i w:val="0"/>
          <w:color w:val="0F766E"/>
          <w:sz w:val="25"/>
        </w:rPr>
        <w:t>Eixo 5: Supervisão Humana e Explicabilidade</w:t>
      </w:r>
    </w:p>
    <w:p>
      <w:pPr>
        <w:spacing w:after="120"/>
      </w:pPr>
      <w:r>
        <w:rPr>
          <w:rFonts w:ascii="Arial" w:hAnsi="Arial"/>
          <w:b w:val="0"/>
          <w:i w:val="0"/>
          <w:color w:val="555555"/>
          <w:sz w:val="19"/>
        </w:rPr>
        <w:t>Avalia a existência de mecanismos de supervisão humana, explicabilidade do sistema e procedimentos de contingência.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08"/>
        <w:gridCol w:w="7030"/>
      </w:tblGrid>
      <w:tr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Item</w:t>
            </w:r>
          </w:p>
        </w:tc>
        <w:tc>
          <w:tcPr>
            <w:tcW w:type="dxa" w:w="4706"/>
            <w:shd w:val="clear" w:color="auto" w:fill="D5E8F0"/>
          </w:tcPr>
          <w:p>
            <w:r>
              <w:rPr>
                <w:rFonts w:ascii="Arial" w:hAnsi="Arial"/>
                <w:b/>
                <w:i w:val="0"/>
                <w:sz w:val="19"/>
              </w:rPr>
              <w:t>Pergunta e orientação para preenchimento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5.1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garante que um pesquisador habilitado revisa e pode contestar toda decisão gerada pelo sistema antes de sua execução?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revisão humana obrigatória (human-in-the-loop) que possa contestar a decisão antes da execução, o participante fica exposto a erros sem barreira de segurança.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5.2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Sim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opera como único determinante de uma decisão — sem revisão humana obrigatória?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Quando o sistema opera como único determinante da decisão, sem revisão humana obrigatória, atinge-se o maior nível de risco para o participante.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5.3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define responsabilidade humana clara em caso de erro ou dano decorrente do uso do sistema?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responsabilidade humana clara em caso de erro ou dano, instala-se uma zona de impunidade que enfraquece a proteção do participante.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5.4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A equipe responsável pelo estudo tem competência técnica suficiente para interpretar os resultados do sistema e identificar falhas?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competência técnica para interpretar resultados e identificar falhas, a equipe não exerce supervisão real sobre o sistema.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5.5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sistema fornece, junto a cada resultado, uma explicação compreensível sobre os fatores que influenciaram aquele resultado?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uma explicação compreensível junto a cada resultado, a supervisão humana e a detecção de vieses ficam prejudicadas.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5.6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prevê monitoramento contínuo do desempenho do sistema após o início do uso, com critérios definidos para interrupção?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monitoramento contínuo e critérios definidos de interrupção, o sistema pode degradar sem detecção, mantendo participantes expostos. Nota: o plano deve nomear o mínimo esperado — métrica(s) de desempenho (incluindo, quando aplicável, estratificadas por subgrupo, ver 4.3/P3.6), limiar de alerta, periodicidade de medição e responsável — e prever resposta proporcional graduada à deterioração (alerta → restrição de uso → suspensão), com escalonamento documentado.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5.7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Existe procedimento documentado para o caso de falha, indisponibilidade ou resultado inconsistente do sistema durante o estudo?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procedimento documentado para falha, indisponibilidade ou resultado inconsistente, decisões passam a ser improvisadas em momentos críticos.</w:t>
            </w:r>
          </w:p>
        </w:tc>
      </w:tr>
      <w:tr>
        <w:tc>
          <w:tcPr>
            <w:tcW w:type="dxa" w:w="2608"/>
          </w:tcPr>
          <w:p>
            <w:r>
              <w:rPr>
                <w:rFonts w:ascii="Arial" w:hAnsi="Arial"/>
                <w:b/>
                <w:i w:val="0"/>
                <w:sz w:val="19"/>
              </w:rPr>
              <w:t>5.8</w:t>
            </w:r>
          </w:p>
          <w:p>
            <w:r>
              <w:rPr>
                <w:rFonts w:ascii="Arial" w:hAnsi="Arial"/>
                <w:b w:val="0"/>
                <w:i w:val="0"/>
                <w:sz w:val="17"/>
              </w:rPr>
              <w:t xml:space="preserve">Resposta de risco: </w:t>
            </w:r>
            <w:r>
              <w:rPr>
                <w:rFonts w:ascii="Arial" w:hAnsi="Arial"/>
                <w:b/>
                <w:i w:val="0"/>
                <w:sz w:val="17"/>
              </w:rPr>
              <w:t>Não</w:t>
            </w:r>
          </w:p>
        </w:tc>
        <w:tc>
          <w:tcPr>
            <w:tcW w:type="dxa" w:w="7030"/>
          </w:tcPr>
          <w:p>
            <w:r>
              <w:rPr>
                <w:rFonts w:ascii="Arial" w:hAnsi="Arial"/>
                <w:b/>
                <w:i w:val="0"/>
                <w:sz w:val="19"/>
              </w:rPr>
              <w:t>O protocolo prevê como e quando o modelo será retreinado, e quem autoriza essa atualização?</w:t>
            </w:r>
          </w:p>
          <w:p>
            <w:r>
              <w:rPr>
                <w:rFonts w:ascii="Arial" w:hAnsi="Arial"/>
                <w:b/>
                <w:i w:val="0"/>
                <w:sz w:val="18"/>
              </w:rPr>
              <w:t xml:space="preserve">Orientação. </w:t>
            </w:r>
            <w:r>
              <w:rPr>
                <w:rFonts w:ascii="Arial" w:hAnsi="Arial"/>
                <w:b w:val="0"/>
                <w:i w:val="0"/>
                <w:sz w:val="18"/>
              </w:rPr>
              <w:t>Sem definir como, quando e quem autoriza o retreinamento, o comportamento do sistema pode mudar de forma imprevisível ao longo do estudo. Nota: aceita-se como evidência plano de gestão de mudanças pré-aprovado que avalie o impacto de atualizações, recalibrações ou substituições sobre participantes, resultados e riscos éticos e defina critério para distinguir alteração menor de mudança que exige comunicação ou emenda ética ao CEP (limiares predeterminados) — sem prejuízo do plano de novo consentimento (2.10/P2.8), que permanece eliminatório.</w:t>
            </w:r>
          </w:p>
        </w:tc>
      </w:tr>
    </w:tbl>
    <w:sectPr w:rsidR="00FC693F" w:rsidRPr="0006063C" w:rsidSect="00034616">
      <w:pgSz w:w="11906" w:h="16838"/>
      <w:pgMar w:top="1247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