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F5B63" w14:textId="77777777" w:rsidR="002214C8" w:rsidRPr="00903152" w:rsidRDefault="00000000" w:rsidP="00903152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6B7280"/>
          <w:sz w:val="24"/>
          <w:szCs w:val="24"/>
        </w:rPr>
        <w:t>Nota técnica de transparência metodológica</w:t>
      </w:r>
    </w:p>
    <w:p w14:paraId="1771DB94" w14:textId="77777777" w:rsidR="002214C8" w:rsidRPr="00903152" w:rsidRDefault="00000000" w:rsidP="00903152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F766E"/>
          <w:sz w:val="24"/>
          <w:szCs w:val="24"/>
        </w:rPr>
        <w:t>Premissas da classificação de risco da MARIAH</w:t>
      </w:r>
    </w:p>
    <w:p w14:paraId="060184ED" w14:textId="167B9215" w:rsidR="002214C8" w:rsidRPr="00903152" w:rsidRDefault="00000000" w:rsidP="00903152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6B7280"/>
          <w:sz w:val="24"/>
          <w:szCs w:val="24"/>
        </w:rPr>
        <w:t>MARIAH Matriz de Avaliação de Risco em Inteligência Artificial em Pesquisa com Seres Humanos · Versão preliminar · Junho de 2026</w:t>
      </w:r>
    </w:p>
    <w:p w14:paraId="03552881" w14:textId="0279E09D" w:rsidR="002214C8" w:rsidRPr="00903152" w:rsidRDefault="00000000" w:rsidP="0090315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Este documento explicita as premissas que sustentam a classificação de risco produzida pela MARIAH. Este texto é para leitores técnicos, como estatísticos, metodologistas, integrantes de CEP e pesquisadores, que precisam auditar, criticar ou entender as decisões do instrumento. Não constitui convite à condução de validação por nenhum leitor em particular: a validação empírica é prospectiva e tem trajetória própria, descrita ao final.</w:t>
      </w:r>
    </w:p>
    <w:p w14:paraId="7116BF96" w14:textId="77777777" w:rsidR="00903152" w:rsidRDefault="00903152">
      <w:pPr>
        <w:spacing w:after="12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As premissas da MARIAH organizam-se em três camadas: (i) o que decorre da norma; (ii) o que foi adotado na elaboração da matriz, com base no referencial normativo e na literatura sistematizada no próprio Guia; e (iii) o que permanece pendente de validação empírica, objeto do protocolo descrito na Seção de Validação Local (documento MARIAH). O documento apresenta as principais decisões metodológicas e suas justificativas, indicando o que já pode ser submetido a julgamento técnico e o que, por ora, ainda não pode.</w:t>
      </w:r>
    </w:p>
    <w:p w14:paraId="0D4554C8" w14:textId="77777777" w:rsidR="002214C8" w:rsidRPr="00903152" w:rsidRDefault="00000000" w:rsidP="00903152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Camada normativa (não está em discussão)</w:t>
      </w:r>
    </w:p>
    <w:p w14:paraId="37D22C16" w14:textId="531ED27B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quatro níveis de risco (I, II, III, IV) seguem a categorização do Conselho Nacional de Saúde, quais sejam: baixo, moderado, alto e crítico, fixada pelas Resoluções CNS n.º 466/2012, 510/2016 e 738/2024.</w:t>
      </w:r>
    </w:p>
    <w:p w14:paraId="14F22103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escala é tratada como ordinal, não intervalar: não se assume que a distância semântica entre Nível I e II equivalha à distância entre Nível III e IV.</w:t>
      </w:r>
    </w:p>
    <w:p w14:paraId="27E91B7A" w14:textId="6BA411AF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eixos temáticos da Versão A (Eixos 1 a 5, e o Eixo 3.b condicional à Res. 738) derivam do mapeamento normativo e da literatura ética sobre IA em pesquisa com seres humanos. Foram tratados como dimensões conceitualmente independentes do risco, ou seja, uma decisão teórica, não um achado empírico.</w:t>
      </w:r>
    </w:p>
    <w:p w14:paraId="34CFD151" w14:textId="72D1FDA4" w:rsidR="002214C8" w:rsidRPr="00903152" w:rsidRDefault="00000000" w:rsidP="00903152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Camada de elaboração: decisões adotadas na construção da matriz</w:t>
      </w:r>
    </w:p>
    <w:p w14:paraId="239DDA88" w14:textId="7E3D4B89" w:rsidR="002214C8" w:rsidRPr="00903152" w:rsidRDefault="00000000" w:rsidP="00903152">
      <w:pPr>
        <w:spacing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decisões aqui descritas foram adotadas pela organização na elaboração da matriz, a partir do referencial normativo e da literatura sistematizada para o Guia. A matriz, agora na versão do Guia para o GT (Junho/2026), está aberta a sugestões editoriais e de mérito, pois não </w:t>
        <w:lastRenderedPageBreak/>
        <w:t xml:space="preserve">reflete a deliberação colegiada do Grupo de Trabalho. Eventuais ajustes a essas decisões serão consolidados ao final do período de leitura.</w:t>
      </w:r>
    </w:p>
    <w:p w14:paraId="79D55F88" w14:textId="1C06EAF1" w:rsidR="002214C8" w:rsidRPr="00903152" w:rsidRDefault="00000000" w:rsidP="00903152">
      <w:pPr>
        <w:pStyle w:val="Heading2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Versão A: regra qualitativa por eixo</w:t>
      </w:r>
    </w:p>
    <w:p w14:paraId="09BED33B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Thresholds por eixo (regra padrão): 0 questões de risco → Nível I; 1–2 → Nível II; 3–4 → Nível III; 5 ou mais → Nível IV. Calibração teórica, não derivada de dados.</w:t>
      </w:r>
    </w:p>
    <w:p w14:paraId="78BA246B" w14:textId="2BCC4E79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Regra de consolidação por máximo: o nível final é o mais alto observado entre todos os eixos aplicáveis. </w:t>
      </w:r>
      <w:r>
        <w:rPr>
          <w:rFonts w:ascii="Times New Roman" w:hAnsi="Times New Roman" w:cs="Times New Roman"/>
          <w:b/>
          <w:bCs/>
          <w:sz w:val="24"/>
          <w:szCs w:val="24"/>
        </w:rPr>
        <w:t>Trata-se de decisão deliberadamente conservadora, alinhada ao princípio da precaução em ética de pesquisa</w:t>
      </w:r>
      <w:r>
        <w:rPr>
          <w:rFonts w:ascii="Times New Roman" w:hAnsi="Times New Roman" w:cs="Times New Roman"/>
          <w:sz w:val="24"/>
          <w:szCs w:val="24"/>
        </w:rPr>
        <w:t xml:space="preserve">. As alternativas estatísticas (média, mediana, soma ponderada) foram preteridas na elaboração por suavizarem sinais críticos em eixos específicos.</w:t>
      </w:r>
    </w:p>
    <w:p w14:paraId="18142099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Regra especial do Eixo 3.b (Res. 738/2024): 0 → Nível I (não eleva); 1–2 → Nível III; 3 ou mais → Nível IV. O Nível II é deliberadamente saltado neste eixo, refletindo o entendimento de que problemas com bancos de dados de pesquisa não admitem categoria moderada intermediária.</w:t>
      </w:r>
    </w:p>
    <w:p w14:paraId="57334D7F" w14:textId="3582BCAF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Questões eliminatórias (modo Res. 738): quando acionadas, classificam o protocolo como “não avaliável pela MARIAH”, saída categorial que sobrescreve a soma e exige análise individualizada do colegiado. Somam-se ainda itens de diligência (Eixo 3.b / Bloco 6.b) que, não atendidos, devolvem o protocolo sem análise de mérito.</w:t>
      </w:r>
    </w:p>
    <w:p w14:paraId="6630D8A7" w14:textId="3F2869FA" w:rsidR="002214C8" w:rsidRPr="00903152" w:rsidRDefault="00000000" w:rsidP="00903152">
      <w:pPr>
        <w:pStyle w:val="Heading2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Versão B: pontuação quantitativa por bloco</w:t>
      </w:r>
    </w:p>
    <w:p w14:paraId="7AF45E7F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Pesos por questão dentro de cada um dos sete blocos foram atribuídos na elaboração da matriz, com base no referencial normativo e na literatura. Não houve, nesta fase, deliberação colegiada com voto ponderado, análise fatorial confirmatória, regressão sobre desfechos éticos, nem elicitação probabilística estruturada (Delphi quantitativo).</w:t>
      </w:r>
    </w:p>
    <w:p w14:paraId="0BDA3A8E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Modelo aditivo: a pontuação total é a soma das pontuações dos blocos. Assume-se aditividade dos efeitos de risco; não há termos de interação nem ponderação multiplicativa entre blocos.</w:t>
      </w:r>
    </w:p>
    <w:p w14:paraId="4E051C32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Cláusula de Prevalência Ética: se P4.1 ou P4.2 = Sim, o protocolo é forçado a Nível IV, sobrescrevendo a soma. Trata-se de regra deontológica embutida na escala — quebra deliberada da aditividade, adotada na elaboração como salvaguarda ética.</w:t>
      </w:r>
    </w:p>
    <w:p w14:paraId="3517965D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Bloco 7 (Mitigação) é bidirecional: questões somam pontos quando “Não” (sem mitigação, risco preservado) e subtraem quando “Sim” (mitigação aplicada), com piso de zero. A mitigação reduz o escore mas não gera “crédito” transferível abaixo de zero. O bloco divide-se em três subblocos — 7A (consultas), 7B (medidas de redução) e 7C (evidências de transparência, em regime de só-abate: presentes subtraem, ausentes não somam).</w:t>
      </w:r>
    </w:p>
    <w:p w14:paraId="64F02C59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Pontos de corte para os quatro níveis: calibrados teoricamente, com ajuste proporcional quando o Bloco 6.b (Res. 738) está ativo. Os limites operacionais estão na Tabela 1.</w:t>
      </w:r>
    </w:p>
    <w:p w14:paraId="6CE245DE" w14:textId="355C1F49" w:rsidR="002214C8" w:rsidRPr="00903152" w:rsidRDefault="00000000" w:rsidP="00903152">
      <w:pPr>
        <w:pStyle w:val="Heading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1 Pontos de corte da Versão B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214C8" w:rsidRPr="00903152" w14:paraId="10070C14" w14:textId="77777777">
        <w:trPr>
          <w:tblHeader/>
        </w:trPr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F594C" w14:textId="77777777" w:rsidR="002214C8" w:rsidRPr="00903152" w:rsidRDefault="00000000" w:rsidP="009031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Cenário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197FE" w14:textId="77777777" w:rsidR="002214C8" w:rsidRPr="00903152" w:rsidRDefault="00000000" w:rsidP="009031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Pontuação máxima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0CDE2" w14:textId="77777777" w:rsidR="002214C8" w:rsidRPr="00903152" w:rsidRDefault="00000000" w:rsidP="009031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Faixas (I · II · III · IV)</w:t>
            </w:r>
          </w:p>
        </w:tc>
      </w:tr>
      <w:tr w:rsidR="002214C8" w:rsidRPr="00903152" w14:paraId="0C6930C8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71ED9" w14:textId="77777777" w:rsidR="002214C8" w:rsidRPr="00903152" w:rsidRDefault="00000000" w:rsidP="009031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 banco de dados (Blocos 1–7)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764E5" w14:textId="77777777" w:rsidR="002214C8" w:rsidRPr="00903152" w:rsidRDefault="00000000" w:rsidP="009031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8654A0" w14:textId="77777777" w:rsidR="002214C8" w:rsidRPr="00903152" w:rsidRDefault="00000000" w:rsidP="009031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≤0–58 · 59–127 · 128–208 · ≥209</w:t>
            </w:r>
          </w:p>
        </w:tc>
      </w:tr>
      <w:tr w:rsidR="002214C8" w:rsidRPr="00903152" w14:paraId="3C81825E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1140A" w14:textId="77777777" w:rsidR="002214C8" w:rsidRPr="00903152" w:rsidRDefault="00000000" w:rsidP="009031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 banco de dados (inclui Bloco 6.b, Res. 738)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EAA3FF" w14:textId="77777777" w:rsidR="002214C8" w:rsidRPr="00903152" w:rsidRDefault="00000000" w:rsidP="009031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21161" w14:textId="77777777" w:rsidR="002214C8" w:rsidRPr="00903152" w:rsidRDefault="00000000" w:rsidP="0090315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≤0–64 · 65–141 · 142–230 · ≥231</w:t>
            </w:r>
          </w:p>
        </w:tc>
      </w:tr>
      <w:tr w:rsidR="00903152" w:rsidRPr="00903152" w14:paraId="17CF2E93" w14:textId="77777777" w:rsidTr="00EC64B0">
        <w:tc>
          <w:tcPr>
            <w:tcW w:w="9360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DFC27" w14:textId="54813FDE" w:rsidR="00903152" w:rsidRPr="00903152" w:rsidRDefault="00903152" w:rsidP="00903152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B7280"/>
                <w:sz w:val="24"/>
                <w:szCs w:val="24"/>
              </w:rPr>
              <w:t xml:space="preserve">Nota: Os pontos de corte derivam das frações fixas do baseline 238 (50/238, 110/238, 180/238) aplicadas ao teto teórico vigente, com arredondamento de meia-unidade para cima. Com banco de dados, o teto teórico é 304 e o teto avaliável é 297 (descontada a questão eliminatória P6.b.2). A calibração definitiva é prospectiva — esperam-se ajustes após a observação da distribuição empírica (Frente 2 da Validação Local).</w:t>
            </w:r>
          </w:p>
        </w:tc>
      </w:tr>
    </w:tbl>
    <w:p w14:paraId="0D83BE97" w14:textId="4D07627D" w:rsidR="002214C8" w:rsidRPr="00903152" w:rsidRDefault="00000000" w:rsidP="00903152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Camada empírica pendente, e objeto da Validação Local (documento MARIAH)</w:t>
      </w:r>
    </w:p>
    <w:p w14:paraId="123356E3" w14:textId="77777777" w:rsidR="002214C8" w:rsidRPr="00903152" w:rsidRDefault="00000000" w:rsidP="00903152">
      <w:pPr>
        <w:spacing w:after="12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Quando perguntada “como a MARIAH foi validada psicometricamente?”, a resposta honesta é: ainda não foi. A validação empírica é prospectiva e ocorrerá na medida em que CEPs adotarem voluntariamente o protocolo descrito na Seção de Validação Local (documento MARIAH), conduzindo-o sobre a casuística que efetivamente lhes for submetida. Não há, no momento, especialistas pré-designados nem cronograma centralizado para a validação: o desenho é deliberadamente descentralizado e cumulativo. A Seção de Validação Local (documento MARIAH) define três frentes mínimas:</w:t>
      </w:r>
    </w:p>
    <w:p w14:paraId="56990680" w14:textId="1CDF83E5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Frente 1: Confiabilidade interavaliador (Versão A): </w:t>
      </w:r>
      <w:r>
        <w:rPr>
          <w:rFonts w:ascii="Times New Roman" w:hAnsi="Times New Roman" w:cs="Times New Roman"/>
          <w:sz w:val="24"/>
          <w:szCs w:val="24"/>
        </w:rPr>
        <w:t xml:space="preserve">verifica se dois ou mais membros do CEP, ao aplicarem a Versão A ao mesmo protocolo de forma independente, chegam à mesma classificação (kappa). </w:t>
      </w:r>
    </w:p>
    <w:p w14:paraId="479B33A4" w14:textId="2ABA4D7D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Frente 2: Distribuição empírica nos quatro níveis (Versão B): </w:t>
      </w:r>
      <w:r>
        <w:rPr>
          <w:rFonts w:ascii="Times New Roman" w:hAnsi="Times New Roman" w:cs="Times New Roman"/>
          <w:sz w:val="24"/>
          <w:szCs w:val="24"/>
        </w:rPr>
        <w:t>examina como a casuística do CEP se distribui nos níveis e identifica concentrações próximas aos pontos de corte, informando ajustes futuros de calibração.</w:t>
      </w:r>
    </w:p>
    <w:p w14:paraId="2818FDEF" w14:textId="1C630B34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Frente 3: Convergência entre Versões A e B (modo triagem): </w:t>
      </w:r>
      <w:r>
        <w:rPr>
          <w:rFonts w:ascii="Times New Roman" w:hAnsi="Times New Roman" w:cs="Times New Roman"/>
          <w:sz w:val="24"/>
          <w:szCs w:val="24"/>
        </w:rPr>
        <w:t>tabela de contingência 4×4 cruzando as classificações das duas versões para protocolos avaliados em ambas; permite identificar discordância sistemática entre os dois instrumentos.</w:t>
      </w:r>
    </w:p>
    <w:p w14:paraId="61D28E1E" w14:textId="77777777" w:rsidR="002214C8" w:rsidRPr="00903152" w:rsidRDefault="00000000" w:rsidP="00903152">
      <w:pPr>
        <w:pStyle w:val="Heading2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O que a Validação Local deliberadamente NÃO cobre</w:t>
      </w:r>
    </w:p>
    <w:p w14:paraId="65A2FBFF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Validade preditiva longitudinal (capacidade do instrumento de prever desfechos éticos reais de protocolos aprovados). Demandaria seguimento prospectivo e está fora do escopo desta primeira fase.</w:t>
      </w:r>
    </w:p>
    <w:p w14:paraId="38AA6371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Validade de construto via análise fatorial confirmatória sobre os eixos da Versão A ou os blocos da Versão B.</w:t>
      </w:r>
    </w:p>
    <w:p w14:paraId="7BB5BEEA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Análise de sensibilidade dos pesos (como variações pequenas nos pontos por questão alteram a classificação de protocolos limítrofes).</w:t>
      </w:r>
    </w:p>
    <w:p w14:paraId="066A012F" w14:textId="77777777" w:rsidR="002214C8" w:rsidRPr="00903152" w:rsidRDefault="00000000" w:rsidP="00903152">
      <w:pPr>
        <w:pStyle w:val="ListParagraph"/>
        <w:numPr>
          <w:ilvl w:val="0"/>
          <w:numId w:val="2"/>
        </w:numPr>
        <w:spacing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Calibração formal dos pontos de corte por curvas ROC contra um padrão-ouro — inexistente para este domínio no estado atual do conhecimento.</w:t>
      </w:r>
    </w:p>
    <w:p w14:paraId="2BBC2A63" w14:textId="77777777" w:rsidR="002214C8" w:rsidRPr="00903152" w:rsidRDefault="00000000" w:rsidP="00903152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Síntese</w:t>
      </w:r>
    </w:p>
    <w:p w14:paraId="1B6DE1F3" w14:textId="77777777" w:rsidR="00903152" w:rsidRDefault="00000000" w:rsidP="00903152">
      <w:pPr>
        <w:spacing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MARIAH é um instrumento de classificação de risco com fundamento normativo e teórico, cujas regras foram adotadas na elaboração da matriz a partir do referencial normativo e da literatura sistematizada no Guia, com decisões conservadoras explícitas (regra do máximo na Versão A; Cláusula de Prevalência Ética forçando Nível IV na Versão B). </w:t>
      </w:r>
    </w:p>
    <w:p w14:paraId="44EACED4" w14:textId="77777777" w:rsidR="00903152" w:rsidRDefault="00903152" w:rsidP="00903152">
      <w:pPr>
        <w:spacing w:after="120" w:line="36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A escala é ordinal, e sua validação psicométrica é prospectiva, a ser conduzida pelos CEPs que adotarem o instrumento, nos termos da Seção de Validação Local (documento MARIAH). As três frentes propostas — confiabilidade interavaliador, distribuição empírica e convergência entre versões — constituem o núcleo mínimo de evidência empírica para futuras revisões do instrumento.</w:t>
      </w:r>
    </w:p>
    <w:p w14:paraId="26862DEF" w14:textId="77777777" w:rsidR="002214C8" w:rsidRPr="00903152" w:rsidRDefault="00000000" w:rsidP="0090315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Observações e críticas técnicas podem ser encaminhadas, em qualquer momento, à CGREP (cgrep@saude.gov.br) e serão consideradas em ciclos futuros de revisão do Guia e da matriz.</w:t>
      </w:r>
    </w:p>
    <w:sectPr w:rsidR="002214C8" w:rsidRPr="0090315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2E5F4" w14:textId="77777777" w:rsidR="00B134D8" w:rsidRDefault="00B134D8">
      <w:r>
        <w:separator/>
      </w:r>
    </w:p>
  </w:endnote>
  <w:endnote w:type="continuationSeparator" w:id="0">
    <w:p w14:paraId="5E98A523" w14:textId="77777777" w:rsidR="00B134D8" w:rsidRDefault="00B1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78A5" w14:textId="77777777" w:rsidR="002214C8" w:rsidRDefault="00000000">
    <w:pPr>
      <w:jc w:val="center"/>
    </w:pPr>
    <w:r>
      <w:rPr>
        <w:color w:val="6B7280"/>
        <w:sz w:val="16"/>
        <w:szCs w:val="16"/>
      </w:rPr>
      <w:t xml:space="preserve">Página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9C4836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· GT INAEP · Ministério da Saúde ·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495E" w14:textId="77777777" w:rsidR="00B134D8" w:rsidRDefault="00B134D8">
      <w:r>
        <w:separator/>
      </w:r>
    </w:p>
  </w:footnote>
  <w:footnote w:type="continuationSeparator" w:id="0">
    <w:p w14:paraId="539DD887" w14:textId="77777777" w:rsidR="00B134D8" w:rsidRDefault="00B13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04F33" w14:textId="77777777" w:rsidR="002214C8" w:rsidRDefault="00000000">
    <w:pPr>
      <w:jc w:val="right"/>
    </w:pPr>
    <w:r>
      <w:rPr>
        <w:i/>
        <w:iCs/>
        <w:color w:val="6B7280"/>
        <w:sz w:val="16"/>
        <w:szCs w:val="16"/>
      </w:rPr>
      <w:t>MARIAH — Nota técnica · Premissas metodológicas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B5C"/>
    <w:multiLevelType w:val="hybridMultilevel"/>
    <w:tmpl w:val="B06A5D6C"/>
    <w:lvl w:ilvl="0" w:tplc="76D40EF8">
      <w:start w:val="1"/>
      <w:numFmt w:val="bullet"/>
      <w:lvlText w:val="●"/>
      <w:lvlJc w:val="left"/>
      <w:pPr>
        <w:ind w:left="720" w:hanging="360"/>
      </w:pPr>
    </w:lvl>
    <w:lvl w:ilvl="1" w:tplc="81005CAC">
      <w:start w:val="1"/>
      <w:numFmt w:val="bullet"/>
      <w:lvlText w:val="○"/>
      <w:lvlJc w:val="left"/>
      <w:pPr>
        <w:ind w:left="1440" w:hanging="360"/>
      </w:pPr>
    </w:lvl>
    <w:lvl w:ilvl="2" w:tplc="AE1CE924">
      <w:start w:val="1"/>
      <w:numFmt w:val="bullet"/>
      <w:lvlText w:val="■"/>
      <w:lvlJc w:val="left"/>
      <w:pPr>
        <w:ind w:left="2160" w:hanging="360"/>
      </w:pPr>
    </w:lvl>
    <w:lvl w:ilvl="3" w:tplc="9072E5DA">
      <w:start w:val="1"/>
      <w:numFmt w:val="bullet"/>
      <w:lvlText w:val="●"/>
      <w:lvlJc w:val="left"/>
      <w:pPr>
        <w:ind w:left="2880" w:hanging="360"/>
      </w:pPr>
    </w:lvl>
    <w:lvl w:ilvl="4" w:tplc="8A5A26A0">
      <w:start w:val="1"/>
      <w:numFmt w:val="bullet"/>
      <w:lvlText w:val="○"/>
      <w:lvlJc w:val="left"/>
      <w:pPr>
        <w:ind w:left="3600" w:hanging="360"/>
      </w:pPr>
    </w:lvl>
    <w:lvl w:ilvl="5" w:tplc="4D04F018">
      <w:start w:val="1"/>
      <w:numFmt w:val="bullet"/>
      <w:lvlText w:val="■"/>
      <w:lvlJc w:val="left"/>
      <w:pPr>
        <w:ind w:left="4320" w:hanging="360"/>
      </w:pPr>
    </w:lvl>
    <w:lvl w:ilvl="6" w:tplc="6CF21F5C">
      <w:start w:val="1"/>
      <w:numFmt w:val="bullet"/>
      <w:lvlText w:val="●"/>
      <w:lvlJc w:val="left"/>
      <w:pPr>
        <w:ind w:left="5040" w:hanging="360"/>
      </w:pPr>
    </w:lvl>
    <w:lvl w:ilvl="7" w:tplc="7B24AB7A">
      <w:start w:val="1"/>
      <w:numFmt w:val="bullet"/>
      <w:lvlText w:val="●"/>
      <w:lvlJc w:val="left"/>
      <w:pPr>
        <w:ind w:left="5760" w:hanging="360"/>
      </w:pPr>
    </w:lvl>
    <w:lvl w:ilvl="8" w:tplc="EAFA146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900E27"/>
    <w:multiLevelType w:val="hybridMultilevel"/>
    <w:tmpl w:val="2E281AA8"/>
    <w:lvl w:ilvl="0" w:tplc="F7BC91B6">
      <w:start w:val="1"/>
      <w:numFmt w:val="bullet"/>
      <w:lvlText w:val="•"/>
      <w:lvlJc w:val="left"/>
      <w:pPr>
        <w:ind w:left="540" w:hanging="270"/>
      </w:pPr>
    </w:lvl>
    <w:lvl w:ilvl="1" w:tplc="7AC449E4">
      <w:numFmt w:val="decimal"/>
      <w:lvlText w:val=""/>
      <w:lvlJc w:val="left"/>
    </w:lvl>
    <w:lvl w:ilvl="2" w:tplc="1C16F5CA">
      <w:numFmt w:val="decimal"/>
      <w:lvlText w:val=""/>
      <w:lvlJc w:val="left"/>
    </w:lvl>
    <w:lvl w:ilvl="3" w:tplc="E7EA9A9A">
      <w:numFmt w:val="decimal"/>
      <w:lvlText w:val=""/>
      <w:lvlJc w:val="left"/>
    </w:lvl>
    <w:lvl w:ilvl="4" w:tplc="7D524584">
      <w:numFmt w:val="decimal"/>
      <w:lvlText w:val=""/>
      <w:lvlJc w:val="left"/>
    </w:lvl>
    <w:lvl w:ilvl="5" w:tplc="3C305F6C">
      <w:numFmt w:val="decimal"/>
      <w:lvlText w:val=""/>
      <w:lvlJc w:val="left"/>
    </w:lvl>
    <w:lvl w:ilvl="6" w:tplc="38F0D2B0">
      <w:numFmt w:val="decimal"/>
      <w:lvlText w:val=""/>
      <w:lvlJc w:val="left"/>
    </w:lvl>
    <w:lvl w:ilvl="7" w:tplc="2EE8C5B6">
      <w:numFmt w:val="decimal"/>
      <w:lvlText w:val=""/>
      <w:lvlJc w:val="left"/>
    </w:lvl>
    <w:lvl w:ilvl="8" w:tplc="6A107898">
      <w:numFmt w:val="decimal"/>
      <w:lvlText w:val=""/>
      <w:lvlJc w:val="left"/>
    </w:lvl>
  </w:abstractNum>
  <w:num w:numId="1" w16cid:durableId="349067423">
    <w:abstractNumId w:val="0"/>
    <w:lvlOverride w:ilvl="0">
      <w:startOverride w:val="1"/>
    </w:lvlOverride>
  </w:num>
  <w:num w:numId="2" w16cid:durableId="12697797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4C8"/>
    <w:rsid w:val="00160964"/>
    <w:rsid w:val="002214C8"/>
    <w:rsid w:val="005C596F"/>
    <w:rsid w:val="00621974"/>
    <w:rsid w:val="007A10A5"/>
    <w:rsid w:val="007F1C28"/>
    <w:rsid w:val="00816AEB"/>
    <w:rsid w:val="008A5680"/>
    <w:rsid w:val="00903152"/>
    <w:rsid w:val="00935DC8"/>
    <w:rsid w:val="00996086"/>
    <w:rsid w:val="009C4836"/>
    <w:rsid w:val="009E0D48"/>
    <w:rsid w:val="00B134D8"/>
    <w:rsid w:val="00BA7E35"/>
    <w:rsid w:val="00FE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3A2BD1"/>
  <w15:docId w15:val="{D19C32CD-FC26-FA41-8414-E4956A81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0F766E"/>
      <w:sz w:val="26"/>
      <w:szCs w:val="26"/>
    </w:rPr>
  </w:style>
  <w:style w:type="paragraph" w:styleId="Heading2">
    <w:name w:val="heading 2"/>
    <w:uiPriority w:val="9"/>
    <w:unhideWhenUsed/>
    <w:qFormat/>
    <w:pPr>
      <w:spacing w:before="180" w:after="90"/>
      <w:outlineLvl w:val="1"/>
    </w:pPr>
    <w:rPr>
      <w:b/>
      <w:bCs/>
      <w:color w:val="1F2937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1213</Words>
  <Characters>6652</Characters>
  <Application>Microsoft Office Word</Application>
  <DocSecurity>0</DocSecurity>
  <Lines>117</Lines>
  <Paragraphs>47</Paragraphs>
  <ScaleCrop>false</ScaleCrop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Premissas metodológicas da classificação de risco da MARIAH</dc:title>
  <dc:creator>MARIAH / GT INAEP</dc:creator>
  <dc:description>Nota técnica para apreciação estatística</dc:description>
  <cp:lastModifiedBy>Fabiano Tonaco Borges</cp:lastModifiedBy>
  <cp:revision>2</cp:revision>
  <dcterms:created xsi:type="dcterms:W3CDTF">2026-06-14T20:25:00Z</dcterms:created>
  <dcterms:modified xsi:type="dcterms:W3CDTF">2026-06-14T20:25:00Z</dcterms:modified>
</cp:coreProperties>
</file>