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7F90E" w14:textId="77777777" w:rsidR="00973582" w:rsidRPr="00F330B8" w:rsidRDefault="00000000" w:rsidP="00F330B8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6B7280"/>
          <w:sz w:val="24"/>
          <w:szCs w:val="24"/>
        </w:rPr>
        <w:t>Suplemento à Nota Técnica de Premissas</w:t>
      </w:r>
    </w:p>
    <w:p w14:paraId="2D3A66E1" w14:textId="77777777" w:rsidR="00973582" w:rsidRPr="00F330B8" w:rsidRDefault="00000000" w:rsidP="00F330B8">
      <w:pPr>
        <w:spacing w:after="4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F766E"/>
          <w:sz w:val="24"/>
          <w:szCs w:val="24"/>
        </w:rPr>
        <w:t xml:space="preserve">Mecanismos de salvaguarda automática na MARIAH </w:t>
      </w:r>
    </w:p>
    <w:p w14:paraId="34898295" w14:textId="77777777" w:rsidR="00973582" w:rsidRPr="00F330B8" w:rsidRDefault="00000000" w:rsidP="00F330B8">
      <w:p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6B7280"/>
          <w:sz w:val="24"/>
          <w:szCs w:val="24"/>
        </w:rPr>
        <w:t>MARIAH Matriz de Avaliação de Risco em Inteligência Artificial em Pesquisa com Seres Humanos · Versão preliminar · Julho de 2026</w:t>
      </w:r>
    </w:p>
    <w:p w14:paraId="1A63547D" w14:textId="77777777" w:rsidR="00973582" w:rsidRPr="00F330B8" w:rsidRDefault="00F330B8" w:rsidP="00F330B8">
      <w:pPr>
        <w:spacing w:after="12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Este suplemento explica os quatro mecanismos de salvaguarda automática da MARIAH, que ignoram a lógica de gradiente do instrumento e forçam a elevação ou recusa da classificação com base em uma condição categórica. O texto é técnico dirigido às e aos integrantes do Grupo de Trabalho, e pode ser lido isoladamente ou inserido como seção da Nota Técnica de Premissas. Ele amplia a versão anterior, que cobria apenas o gatilho do Eixo 3.b.</w:t>
      </w:r>
    </w:p>
    <w:p w14:paraId="6FAD0863" w14:textId="77777777" w:rsidR="00973582" w:rsidRPr="00F330B8" w:rsidRDefault="00000000" w:rsidP="00F330B8">
      <w:pPr>
        <w:pStyle w:val="Heading1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Por que a MARIAH adota salvaguardas</w:t>
      </w:r>
    </w:p>
    <w:p w14:paraId="5C27BB05" w14:textId="77777777" w:rsidR="00973582" w:rsidRPr="00F330B8" w:rsidRDefault="00000000" w:rsidP="00F330B8">
      <w:pPr>
        <w:spacing w:after="12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ambas as versões, a MARIAH parte de uma lógica de gradiente: o risco do protocolo cresce de forma incremental, seja com o número de respostas de risco por eixo (Versão A), seja com a soma de pontos entre blocos (Versão B). Sobre essa lógica gradiente, a matriz superpõe quatro mecanismos que a interrompem: uma vez satisfeita determinada condição, a classificação é definida por critério deontológico, e não estatístico, sobrescrevendo o que a contagem ou a soma indicariam.</w:t>
      </w:r>
    </w:p>
    <w:p w14:paraId="7B3E8ECC" w14:textId="77777777" w:rsidR="00973582" w:rsidRPr="00F330B8" w:rsidRDefault="00000000" w:rsidP="00D022B7">
      <w:pPr>
        <w:spacing w:after="12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razão é substantiva, porque certas condições éticas não se manifestam em gradiente: a sua simples presença já é decisiva. </w:t>
      </w:r>
      <w:r>
        <w:rPr>
          <w:rFonts w:ascii="Times New Roman" w:hAnsi="Times New Roman" w:cs="Times New Roman"/>
          <w:sz w:val="24"/>
          <w:szCs w:val="24"/>
          <w:u w:val="single"/>
        </w:rPr>
        <w:t>Não existe, na prática, “violação moderada de confidencialidade”, “consentimento parcialmente válido” ou “dano irreversível de pequena monta”.</w:t>
      </w:r>
      <w:r>
        <w:rPr>
          <w:rFonts w:ascii="Times New Roman" w:hAnsi="Times New Roman" w:cs="Times New Roman"/>
          <w:sz w:val="24"/>
          <w:szCs w:val="24"/>
        </w:rPr>
        <w:t xml:space="preserve"> Tratar essas condições pela média ou pela soma as diluiria em escores agregados, justamente onde o instrumento precisa ser mais sensível. Os quatro gatilhos são, portanto, salvaguardas de precaução: assimetrias assumidas como tais, que preferem classificar a mais a deixar passar a menos.</w:t>
      </w:r>
    </w:p>
    <w:p w14:paraId="29F91C1A" w14:textId="77777777" w:rsidR="00973582" w:rsidRPr="00F330B8" w:rsidRDefault="00000000" w:rsidP="00D022B7">
      <w:pPr>
        <w:spacing w:after="12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quatro mecanismos compartilham a mesma estrutura (uma condição categórica que, uma vez atendida, prevalece sobre o gradiente), mas atuam em pontos distintos do instrumento, conforme a Tabela 1.</w:t>
      </w:r>
    </w:p>
    <w:p w14:paraId="54B7CBD0" w14:textId="77777777" w:rsidR="00D022B7" w:rsidRDefault="00D022B7" w:rsidP="00F330B8">
      <w:pPr>
        <w:pStyle w:val="Heading2"/>
        <w:spacing w:before="120" w:after="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12D783" w14:textId="77777777" w:rsidR="00D022B7" w:rsidRDefault="00D022B7" w:rsidP="00F330B8">
      <w:pPr>
        <w:pStyle w:val="Heading2"/>
        <w:spacing w:before="120" w:after="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E2741D" w14:textId="77777777" w:rsidR="00D022B7" w:rsidRDefault="00D022B7" w:rsidP="00F330B8">
      <w:pPr>
        <w:pStyle w:val="Heading2"/>
        <w:spacing w:before="120" w:after="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8D46DE" w14:textId="77777777" w:rsidR="00D022B7" w:rsidRDefault="00D022B7" w:rsidP="00F330B8">
      <w:pPr>
        <w:pStyle w:val="Heading2"/>
        <w:spacing w:before="120" w:after="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FE46D51" w14:textId="77777777" w:rsidR="00D022B7" w:rsidRDefault="00D022B7" w:rsidP="00F330B8">
      <w:pPr>
        <w:pStyle w:val="Heading2"/>
        <w:spacing w:before="120" w:after="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429EE3" w14:textId="77777777" w:rsidR="00D022B7" w:rsidRDefault="00D022B7" w:rsidP="00F330B8">
      <w:pPr>
        <w:pStyle w:val="Heading2"/>
        <w:spacing w:before="120" w:after="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D61180" w14:textId="77777777" w:rsidR="00973582" w:rsidRPr="00F330B8" w:rsidRDefault="00000000" w:rsidP="003E0989">
      <w:pPr>
        <w:pStyle w:val="Heading2"/>
        <w:spacing w:before="120" w:after="6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Tabela 1 Visão geral dos quatro gatilhos de salvaguarda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8"/>
        <w:gridCol w:w="1513"/>
        <w:gridCol w:w="2366"/>
        <w:gridCol w:w="2639"/>
      </w:tblGrid>
      <w:tr w:rsidR="00973582" w:rsidRPr="00F330B8" w14:paraId="391146A6" w14:textId="77777777" w:rsidTr="00D022B7">
        <w:trPr>
          <w:tblHeader/>
        </w:trPr>
        <w:tc>
          <w:tcPr>
            <w:tcW w:w="250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E6A4DB1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Gatilho</w:t>
            </w:r>
          </w:p>
        </w:tc>
        <w:tc>
          <w:tcPr>
            <w:tcW w:w="1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F335240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Versão</w:t>
            </w:r>
          </w:p>
        </w:tc>
        <w:tc>
          <w:tcPr>
            <w:tcW w:w="23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EE717A6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Condição de disparo</w:t>
            </w:r>
          </w:p>
        </w:tc>
        <w:tc>
          <w:tcPr>
            <w:tcW w:w="26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831033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Efeito sobre a classificação</w:t>
            </w:r>
          </w:p>
        </w:tc>
      </w:tr>
      <w:tr w:rsidR="00973582" w:rsidRPr="00F330B8" w14:paraId="68AD9EAA" w14:textId="77777777" w:rsidTr="00D022B7">
        <w:tc>
          <w:tcPr>
            <w:tcW w:w="250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6D02B24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Regra especial do Eixo 3.b (Salvaguarda da Res. 738/2024)</w:t>
            </w:r>
          </w:p>
        </w:tc>
        <w:tc>
          <w:tcPr>
            <w:tcW w:w="1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B13DFF0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(qualitativa)</w:t>
            </w:r>
          </w:p>
        </w:tc>
        <w:tc>
          <w:tcPr>
            <w:tcW w:w="23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482EE8E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ou mais respostas de risco no Eixo 3.b</w:t>
            </w:r>
          </w:p>
        </w:tc>
        <w:tc>
          <w:tcPr>
            <w:tcW w:w="26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E06746F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Eixo salta o Nível II (1–2 → III; 3+ → IV); via regra do máximo, eleva o nível final</w:t>
            </w:r>
          </w:p>
        </w:tc>
      </w:tr>
      <w:tr w:rsidR="00973582" w:rsidRPr="00F330B8" w14:paraId="2646D9C3" w14:textId="77777777" w:rsidTr="00D022B7">
        <w:tc>
          <w:tcPr>
            <w:tcW w:w="250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7ACBF84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Cláusula de Prevalência Ética (Salvaguarda Decisória)</w:t>
            </w:r>
          </w:p>
        </w:tc>
        <w:tc>
          <w:tcPr>
            <w:tcW w:w="1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93C0A09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 (quantitativa)</w:t>
            </w:r>
          </w:p>
        </w:tc>
        <w:tc>
          <w:tcPr>
            <w:tcW w:w="23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F59E85E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P4.1 ou P4.2 = “Sim”</w:t>
            </w:r>
          </w:p>
        </w:tc>
        <w:tc>
          <w:tcPr>
            <w:tcW w:w="26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734239B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Força Nível IV, sobrescrevendo a soma total dos blocos</w:t>
            </w:r>
          </w:p>
        </w:tc>
      </w:tr>
      <w:tr w:rsidR="00973582" w:rsidRPr="00F330B8" w14:paraId="29D1C5D0" w14:textId="77777777" w:rsidTr="00D022B7">
        <w:tc>
          <w:tcPr>
            <w:tcW w:w="250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71CC943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Eliminatória de cadeia de custódia (Salvaguarda de Inavaliabilidade — Res. 738/2024)</w:t>
            </w:r>
          </w:p>
        </w:tc>
        <w:tc>
          <w:tcPr>
            <w:tcW w:w="1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661C463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e B</w:t>
            </w:r>
          </w:p>
        </w:tc>
        <w:tc>
          <w:tcPr>
            <w:tcW w:w="23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FB7FAE2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Ausência de cadeia de custódia formalizada dos dados</w:t>
            </w:r>
          </w:p>
        </w:tc>
        <w:tc>
          <w:tcPr>
            <w:tcW w:w="26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0207FBF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Classifica o protocolo como “não avaliável pela MARIAH”</w:t>
            </w:r>
          </w:p>
        </w:tc>
      </w:tr>
      <w:tr w:rsidR="00973582" w:rsidRPr="00F330B8" w14:paraId="5A000001" w14:textId="77777777" w:rsidTr="00D022B7">
        <w:tc>
          <w:tcPr>
            <w:tcW w:w="250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A000002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Diligência impeditiva de novo consentimento (Lei 14.874/2024 + LGPD)</w:t>
            </w:r>
          </w:p>
        </w:tc>
        <w:tc>
          <w:tcPr>
            <w:tcW w:w="1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A000003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e B</w:t>
            </w:r>
          </w:p>
        </w:tc>
        <w:tc>
          <w:tcPr>
            <w:tcW w:w="23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A000004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Sistema adaptativo (1.2 / P2.2 = Sim) sem plano de novo consentimento</w:t>
            </w:r>
          </w:p>
        </w:tc>
        <w:tc>
          <w:tcPr>
            <w:tcW w:w="26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A000005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Classifica o protocolo como “não avaliável pela MARIAH”</w:t>
            </w:r>
          </w:p>
        </w:tc>
      </w:tr>
    </w:tbl>
    <w:p w14:paraId="6F9E86F7" w14:textId="77777777" w:rsidR="00120BC4" w:rsidRDefault="00000000">
      <w:pPr>
        <w:spacing w:after="120"/>
        <w:jc w:val="both"/>
      </w:pPr>
      <w:r>
        <w:rPr>
          <w:rFonts w:ascii="Times New Roman" w:hAnsi="Times New Roman"/>
          <w:i/>
          <w:sz w:val="24"/>
        </w:rPr>
        <w:t>As seções seguintes detalham cada gatilho. Os dois primeiros recebem tratamento completo: o que faz, por que faz, como interage com a matriz, cenários e crítica honesta. Os dois últimos, por serem saídas categoriais distintas, são apresentados em conjunto.</w:t>
      </w:r>
    </w:p>
    <w:p w14:paraId="2FAC99BB" w14:textId="77777777" w:rsidR="00D022B7" w:rsidRDefault="00D022B7" w:rsidP="00F330B8">
      <w:pPr>
        <w:pStyle w:val="Heading1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B927946" w14:textId="77777777" w:rsidR="00973582" w:rsidRPr="00F330B8" w:rsidRDefault="00000000" w:rsidP="00F330B8">
      <w:pPr>
        <w:pStyle w:val="Heading1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Gatilho 1 Regra especial do Eixo 3.b (Res. CNS n.º 738/2024), Versão A</w:t>
      </w:r>
    </w:p>
    <w:p w14:paraId="0D4319D8" w14:textId="77777777" w:rsidR="00973582" w:rsidRPr="00F330B8" w:rsidRDefault="00000000" w:rsidP="00D022B7">
      <w:pPr>
        <w:spacing w:after="12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Eixo 3.b é condicionado à aplicação da Resolução CNS n.º 738/2024 sobre bancos de dados de pesquisa. Sua regra de consolidação difere da utilizada nos demais eixos e, por isso, merece explicação substantiva.</w:t>
      </w:r>
    </w:p>
    <w:p w14:paraId="62433BC6" w14:textId="77777777" w:rsidR="00973582" w:rsidRPr="00F330B8" w:rsidRDefault="00000000" w:rsidP="00F330B8">
      <w:pPr>
        <w:pStyle w:val="Heading2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 O que a regra estabelece</w:t>
      </w:r>
    </w:p>
    <w:p w14:paraId="4858FFA2" w14:textId="77777777" w:rsidR="00973582" w:rsidRPr="00F330B8" w:rsidRDefault="00000000" w:rsidP="00D022B7">
      <w:pPr>
        <w:spacing w:after="12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regra do Eixo 3.b opera segundo a Tabela 2. A comparação com a regra padrão dos demais eixos (Eixos 1, 2, 3, 4 e 5) está na Tabela 3.</w:t>
      </w:r>
    </w:p>
    <w:p w14:paraId="1953C87D" w14:textId="77777777" w:rsidR="00973582" w:rsidRPr="00F330B8" w:rsidRDefault="00000000" w:rsidP="00D022B7">
      <w:pPr>
        <w:pStyle w:val="Heading2"/>
        <w:spacing w:before="120" w:after="6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Tabela 2 Regra do Eixo 3.b (Res. CNS n.º 738/2024)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973582" w:rsidRPr="00F330B8" w14:paraId="2FA96309" w14:textId="77777777">
        <w:trPr>
          <w:tblHeader/>
        </w:trPr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E3F26B2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Quantidade de respostas de risco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7BC58DA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Nível atribuído ao eixo</w:t>
            </w:r>
          </w:p>
        </w:tc>
      </w:tr>
      <w:tr w:rsidR="00973582" w:rsidRPr="00F330B8" w14:paraId="3025FE6B" w14:textId="77777777"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04920D2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07CD5E1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973582" w:rsidRPr="00F330B8" w14:paraId="55841887" w14:textId="77777777"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9E1501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ou 2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798A1CE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 (Nível II é deliberadamente saltado)</w:t>
            </w:r>
          </w:p>
        </w:tc>
      </w:tr>
      <w:tr w:rsidR="00973582" w:rsidRPr="00F330B8" w14:paraId="2252911B" w14:textId="77777777"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ADD1D4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ou mais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257833C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</w:tr>
    </w:tbl>
    <w:p w14:paraId="54957979" w14:textId="77777777" w:rsidR="00555D69" w:rsidRDefault="00555D69" w:rsidP="00F330B8">
      <w:pPr>
        <w:pStyle w:val="Heading2"/>
        <w:spacing w:before="120" w:after="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61E76F" w14:textId="77777777" w:rsidR="00973582" w:rsidRPr="00F330B8" w:rsidRDefault="00000000" w:rsidP="00555D69">
      <w:pPr>
        <w:pStyle w:val="Heading2"/>
        <w:spacing w:before="120" w:after="6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Tabela 3 Regra padrão dos demais eixos (1, 2, 3, 4, 5)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973582" w:rsidRPr="00F330B8" w14:paraId="6117263D" w14:textId="77777777">
        <w:trPr>
          <w:tblHeader/>
        </w:trPr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7F843F3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Quantidade de respostas de risco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A5384B7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Nível atribuído ao eixo</w:t>
            </w:r>
          </w:p>
        </w:tc>
      </w:tr>
      <w:tr w:rsidR="00973582" w:rsidRPr="00F330B8" w14:paraId="56E378DC" w14:textId="77777777"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22D01F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297068F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973582" w:rsidRPr="00F330B8" w14:paraId="515B30DC" w14:textId="77777777"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FA072C0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ou 2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95F1FFD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973582" w:rsidRPr="00F330B8" w14:paraId="4648D932" w14:textId="77777777"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26E3CD1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ou 4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A1FF00C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973582" w:rsidRPr="00F330B8" w14:paraId="10E6CAC9" w14:textId="77777777"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3C12F06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ou mais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535ED8B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</w:tr>
    </w:tbl>
    <w:p w14:paraId="00FE39F8" w14:textId="77777777" w:rsidR="00555D69" w:rsidRDefault="00555D69" w:rsidP="00555D6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02945E" w14:textId="77777777" w:rsidR="00973582" w:rsidRPr="00F330B8" w:rsidRDefault="00000000" w:rsidP="00555D69">
      <w:pPr>
        <w:spacing w:after="12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diferença visível: no Eixo 3.b o Nível II é deliberadamente saltado. Uma única resposta de risco já leva o eixo diretamente ao Nível III.</w:t>
      </w:r>
    </w:p>
    <w:p w14:paraId="6202B99B" w14:textId="77777777" w:rsidR="00555D69" w:rsidRDefault="00555D69" w:rsidP="00F330B8">
      <w:pPr>
        <w:pStyle w:val="Heading2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976463" w14:textId="77777777" w:rsidR="00973582" w:rsidRPr="00F330B8" w:rsidRDefault="00000000" w:rsidP="00F330B8">
      <w:pPr>
        <w:pStyle w:val="Heading2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Por que essa diferença: o argumento substantivo</w:t>
      </w:r>
    </w:p>
    <w:p w14:paraId="53F2E981" w14:textId="77777777" w:rsidR="00973582" w:rsidRPr="00F330B8" w:rsidRDefault="00000000" w:rsidP="00555D69">
      <w:pPr>
        <w:spacing w:after="120" w:line="36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Resolução CNS n.º 738/2024 disciplina a pesquisa que utiliza bancos de dados de pesquisa: reuso de dados clínicos, prontuários, registros, coortes e biobancos. É uma camada normativa mais prescritiva do que as resoluções gerais (466/2012, 510/2016) porque os riscos têm natureza qualitativamente distinta:</w:t>
      </w:r>
    </w:p>
    <w:p w14:paraId="28F4D4E7" w14:textId="77777777" w:rsidR="00973582" w:rsidRPr="00F330B8" w:rsidRDefault="00000000" w:rsidP="00F330B8">
      <w:pPr>
        <w:pStyle w:val="ListParagraph"/>
        <w:numPr>
          <w:ilvl w:val="0"/>
          <w:numId w:val="2"/>
        </w:numPr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Privacidade e confidencialidade de dados identificáveis ou potencialmente re-identificáveis.</w:t>
      </w:r>
    </w:p>
    <w:p w14:paraId="53986FFE" w14:textId="77777777" w:rsidR="00973582" w:rsidRPr="00F330B8" w:rsidRDefault="00000000" w:rsidP="00F330B8">
      <w:pPr>
        <w:pStyle w:val="ListParagraph"/>
        <w:numPr>
          <w:ilvl w:val="0"/>
          <w:numId w:val="2"/>
        </w:numPr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Reuso secundário sem consentimento específico (ou com dispensa que precisa ser bem justificada).</w:t>
      </w:r>
    </w:p>
    <w:p w14:paraId="1A0D4775" w14:textId="77777777" w:rsidR="00973582" w:rsidRPr="00F330B8" w:rsidRDefault="00000000" w:rsidP="00F330B8">
      <w:pPr>
        <w:pStyle w:val="ListParagraph"/>
        <w:numPr>
          <w:ilvl w:val="0"/>
          <w:numId w:val="2"/>
        </w:numPr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Discriminação algorítmica futura a partir de dados clínicos sensíveis.</w:t>
      </w:r>
    </w:p>
    <w:p w14:paraId="0A7B015D" w14:textId="77777777" w:rsidR="00973582" w:rsidRPr="00F330B8" w:rsidRDefault="00000000" w:rsidP="00F330B8">
      <w:pPr>
        <w:pStyle w:val="ListParagraph"/>
        <w:numPr>
          <w:ilvl w:val="0"/>
          <w:numId w:val="2"/>
        </w:numPr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Compartilhamento internacional e perda de governança nacional sobre os dados.</w:t>
      </w:r>
    </w:p>
    <w:p w14:paraId="2BF0068E" w14:textId="77777777" w:rsidR="00973582" w:rsidRPr="00F330B8" w:rsidRDefault="00000000" w:rsidP="00F330B8">
      <w:pPr>
        <w:pStyle w:val="ListParagraph"/>
        <w:numPr>
          <w:ilvl w:val="0"/>
          <w:numId w:val="2"/>
        </w:numPr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Persistência temporal: diferente de um experimento que termina, um banco permanece e gera riscos cumulativos ao longo do tempo.</w:t>
      </w:r>
    </w:p>
    <w:p w14:paraId="32385126" w14:textId="77777777" w:rsidR="00973582" w:rsidRPr="00F330B8" w:rsidRDefault="00000000" w:rsidP="00555D69">
      <w:pPr>
        <w:spacing w:after="120" w:line="36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Esses riscos têm uma característica que justifica a regra excepcional: eles não se manifestam em gradiente. Ou o banco está sendo manejado dentro dos requisitos da Res. 738 (zero problema, risco baixo), ou há um problema concreto; e quando há, o risco já é elevado, </w:t>
        <w:lastRenderedPageBreak/>
        <w:t>porque os danos potenciais (vazamento, re-identificação, uso secundário não consentido) não admitem categoria moderada. Não existe, na prática, “violação moderada de confidencialidade” ou “consentimento parcialmente válido”. A categoria intermediária (“moderado”) não faz sentido analítico para esse domínio.</w:t>
      </w:r>
    </w:p>
    <w:p w14:paraId="358DF74C" w14:textId="77777777" w:rsidR="00FB7BFF" w:rsidRDefault="00FB7BFF" w:rsidP="00F330B8">
      <w:pPr>
        <w:pStyle w:val="Heading2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54E5F1" w14:textId="77777777" w:rsidR="00973582" w:rsidRPr="00F330B8" w:rsidRDefault="00000000" w:rsidP="00F330B8">
      <w:pPr>
        <w:pStyle w:val="Heading2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 Como a regra interage com a consolidação por máximo</w:t>
      </w:r>
    </w:p>
    <w:p w14:paraId="2E062565" w14:textId="77777777" w:rsidR="00973582" w:rsidRPr="00F330B8" w:rsidRDefault="00000000" w:rsidP="00FB7BFF">
      <w:pPr>
        <w:spacing w:after="120" w:line="36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Versão A consolida o nível final do protocolo pela regra do máximo: o nível final é o mais alto observado entre todos os eixos aplicáveis. Em razão dessa interação, a regra especial do Eixo 3.b funciona, na prática, como um disparador de elevação:</w:t>
      </w:r>
    </w:p>
    <w:p w14:paraId="3CD55B2C" w14:textId="77777777" w:rsidR="00973582" w:rsidRPr="00F330B8" w:rsidRDefault="00000000" w:rsidP="00F330B8">
      <w:pPr>
        <w:pStyle w:val="ListParagraph"/>
        <w:numPr>
          <w:ilvl w:val="0"/>
          <w:numId w:val="2"/>
        </w:numPr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o Eixo 3.b retorna Nível I, ele não eleva nada. Os demais eixos definem o nível final normalmente.</w:t>
      </w:r>
    </w:p>
    <w:p w14:paraId="60178BC3" w14:textId="77777777" w:rsidR="00973582" w:rsidRPr="00F330B8" w:rsidRDefault="00000000" w:rsidP="00F330B8">
      <w:pPr>
        <w:pStyle w:val="ListParagraph"/>
        <w:numPr>
          <w:ilvl w:val="0"/>
          <w:numId w:val="2"/>
        </w:numPr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o Eixo 3.b retorna Nível III por uma única resposta de risco, o protocolo inteiro é classificado em pelo menos Nível III, mesmo que os outros cinco eixos estejam no Nível I. Há, nesse caso, salto de dois níveis (I → III) acionado por um único problema com banco de dados.</w:t>
      </w:r>
    </w:p>
    <w:p w14:paraId="02599D72" w14:textId="77777777" w:rsidR="00973582" w:rsidRPr="00F330B8" w:rsidRDefault="00000000" w:rsidP="00F330B8">
      <w:pPr>
        <w:pStyle w:val="ListParagraph"/>
        <w:numPr>
          <w:ilvl w:val="0"/>
          <w:numId w:val="2"/>
        </w:numPr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o Eixo 3.b retorna Nível IV (3 ou mais respostas de risco), o protocolo é automaticamente classificado em Nível IV.</w:t>
      </w:r>
    </w:p>
    <w:p w14:paraId="42F9DD94" w14:textId="77777777" w:rsidR="00973582" w:rsidRPr="00F330B8" w:rsidRDefault="00000000" w:rsidP="00F330B8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 outras palavras: qualquer problema concreto no Eixo 3.b carrega o protocolo para revisão de alto risco, sem amortecimento. É amplificação direta, não suavização gradual.</w:t>
      </w:r>
    </w:p>
    <w:p w14:paraId="06B65555" w14:textId="77777777" w:rsidR="00973582" w:rsidRPr="00F330B8" w:rsidRDefault="00000000" w:rsidP="00F330B8">
      <w:pPr>
        <w:pStyle w:val="Heading2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 Três cenários para tornar a regra concreta</w:t>
      </w:r>
    </w:p>
    <w:p w14:paraId="1BF44AD7" w14:textId="77777777" w:rsidR="00973582" w:rsidRPr="00F330B8" w:rsidRDefault="00000000" w:rsidP="00F330B8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Cenário A: protocolo usa banco, em conformidade com a Res. 738.</w:t>
      </w:r>
    </w:p>
    <w:p w14:paraId="05E7CCFC" w14:textId="77777777" w:rsidR="00973582" w:rsidRPr="00F330B8" w:rsidRDefault="00000000" w:rsidP="00F330B8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Eixo 3.b: 0 respostas de risco → Nível I. O eixo não eleva a classificação. Os outros cinco eixos definem o nível final segundo a regra padrão.</w:t>
      </w:r>
    </w:p>
    <w:p w14:paraId="28AF9FD6" w14:textId="77777777" w:rsidR="00973582" w:rsidRPr="00F330B8" w:rsidRDefault="00000000" w:rsidP="00F330B8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Cenário B: protocolo usa banco, com 1 problema concreto.</w:t>
      </w:r>
    </w:p>
    <w:p w14:paraId="7493A8BC" w14:textId="77777777" w:rsidR="00973582" w:rsidRPr="00F330B8" w:rsidRDefault="00000000" w:rsidP="00F330B8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Exemplo: dispensa de consentimento adotada sem justificativa adequada na perspectiva da Res. 738. Eixo 3.b: 1 resposta de risco → Nível III. Pela regra do máximo, o protocolo é classificado em pelo menos Nível III, ainda que os outros cinco eixos sejam todos Nível I. Um único problema no Eixo 3.b promove o protocolo dois níveis (do I direto ao III).</w:t>
      </w:r>
    </w:p>
    <w:p w14:paraId="5FBD25E3" w14:textId="77777777" w:rsidR="00973582" w:rsidRPr="00F330B8" w:rsidRDefault="00000000" w:rsidP="00F330B8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Cenário C: protocolo usa banco, com 3 ou mais problemas.</w:t>
      </w:r>
    </w:p>
    <w:p w14:paraId="76635D63" w14:textId="77777777" w:rsidR="00973582" w:rsidRPr="00F330B8" w:rsidRDefault="00000000" w:rsidP="00F330B8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Eixo 3.b: 3+ respostas de risco → Nível IV. Protocolo automaticamente em Nível IV (crítico), independentemente dos demais eixos.</w:t>
      </w:r>
    </w:p>
    <w:p w14:paraId="5D029CB1" w14:textId="77777777" w:rsidR="00973582" w:rsidRPr="00F330B8" w:rsidRDefault="00000000" w:rsidP="00F330B8">
      <w:pPr>
        <w:pStyle w:val="Heading2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 Crítica: o que um leitor técnico pode levantar</w:t>
      </w:r>
    </w:p>
    <w:p w14:paraId="48422A8F" w14:textId="77777777" w:rsidR="00973582" w:rsidRPr="00F330B8" w:rsidRDefault="00000000" w:rsidP="00F330B8">
      <w:pPr>
        <w:pStyle w:val="ListParagraph"/>
        <w:numPr>
          <w:ilvl w:val="0"/>
          <w:numId w:val="2"/>
        </w:numPr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“Por que 1 problema já manda para o Nível III? Não poderia permanecer em Nível II ou borderline?” Poderia, sim. A escolha de pular o Nível II foi deontológica e conservadora, não estatística. Prefere-se classificar a mais a deixar passar a menos.</w:t>
      </w:r>
    </w:p>
    <w:p w14:paraId="2D679E3F" w14:textId="77777777" w:rsidR="00973582" w:rsidRPr="00F330B8" w:rsidRDefault="00000000" w:rsidP="00F330B8">
      <w:pPr>
        <w:pStyle w:val="ListParagraph"/>
        <w:numPr>
          <w:ilvl w:val="0"/>
          <w:numId w:val="2"/>
        </w:numPr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“Isso vai gerar sobre-classificação?” Provavelmente sim, em algum percentual. A Frente 2 da Validação Local (distribuição empírica nos níveis) é justamente o instrumento desenhado para detectar se a elevação está sendo desproporcional na casuística real dos CEPs.</w:t>
      </w:r>
    </w:p>
    <w:p w14:paraId="7B2E98BF" w14:textId="77777777" w:rsidR="00973582" w:rsidRPr="00F330B8" w:rsidRDefault="00000000" w:rsidP="00F330B8">
      <w:pPr>
        <w:pStyle w:val="ListParagraph"/>
        <w:numPr>
          <w:ilvl w:val="0"/>
          <w:numId w:val="2"/>
        </w:numPr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“Por que a elevação não é proporcional ao risco material observado?” Porque a MARIAH, neste estágio, não dispõe de evidência empírica que permita calibrar de forma proporcional. Na ausência dessa evidência, preferiu-se errar para o lado da maior cautela, postura coerente com o restante das decisões metodológicas da matriz.</w:t>
      </w:r>
    </w:p>
    <w:p w14:paraId="45A6CAA0" w14:textId="77777777" w:rsidR="00973582" w:rsidRPr="00F330B8" w:rsidRDefault="00000000" w:rsidP="00F330B8">
      <w:pPr>
        <w:pStyle w:val="Heading1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Gatilho 2 Cláusula de Prevalência Ética, Versão B</w:t>
      </w:r>
    </w:p>
    <w:p w14:paraId="2AB843E7" w14:textId="77777777" w:rsidR="00973582" w:rsidRPr="00F330B8" w:rsidRDefault="00000000" w:rsidP="00C30793">
      <w:pPr>
        <w:spacing w:after="12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Versão B é quantitativa: a pontuação total do protocolo é a soma das pontuações de sete blocos (modelo aditivo), e os pontos de corte definem o nível final. A Cláusula de Prevalência Ética é a exceção a essa aritmética.</w:t>
      </w:r>
    </w:p>
    <w:p w14:paraId="7A11BE58" w14:textId="77777777" w:rsidR="00973582" w:rsidRPr="00F330B8" w:rsidRDefault="00000000" w:rsidP="00F330B8">
      <w:pPr>
        <w:pStyle w:val="Heading2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 O que a cláusula estabelece</w:t>
      </w:r>
    </w:p>
    <w:p w14:paraId="15C03679" w14:textId="77777777" w:rsidR="00973582" w:rsidRPr="00F330B8" w:rsidRDefault="00000000" w:rsidP="00C30793">
      <w:pPr>
        <w:spacing w:after="120" w:line="36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cláusula opera sobre duas questões do Bloco 4 (Decisão), o bloco que avalia o grau de autonomia decisória do sistema e a consequência de um erro, as perguntas mais críticas da matriz:</w:t>
      </w:r>
    </w:p>
    <w:p w14:paraId="09F68738" w14:textId="77777777" w:rsidR="00973582" w:rsidRPr="00F330B8" w:rsidRDefault="00000000" w:rsidP="00F330B8">
      <w:pPr>
        <w:pStyle w:val="ListParagraph"/>
        <w:numPr>
          <w:ilvl w:val="0"/>
          <w:numId w:val="2"/>
        </w:numPr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P4.1 — “O sistema é o único determinante de uma decisão que afeta diretamente o participante — sem revisão humana obrigatória?” (resposta de risco: Sim)</w:t>
      </w:r>
    </w:p>
    <w:p w14:paraId="51AE18DA" w14:textId="77777777" w:rsidR="00973582" w:rsidRPr="00F330B8" w:rsidRDefault="00000000" w:rsidP="00F330B8">
      <w:pPr>
        <w:pStyle w:val="ListParagraph"/>
        <w:numPr>
          <w:ilvl w:val="0"/>
          <w:numId w:val="2"/>
        </w:numPr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P4.2 — “Em caso de erro do sistema, o dano ao participante seria irreversível ou de difícil reparação?” (resposta de risco: Sim)</w:t>
      </w:r>
    </w:p>
    <w:p w14:paraId="1EFC552A" w14:textId="77777777" w:rsidR="00C30793" w:rsidRDefault="00000000" w:rsidP="00A316F7">
      <w:pPr>
        <w:spacing w:after="120" w:line="36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P4.1 ou P4.2 for marcada como “Sim”, aciona-se o princípio da precaução e o protocolo é elevado ao Nível IV, independentemente da pontuação total. A cláusula sobrescreve a soma: ainda que os sete blocos somados apontassem Nível I ou II, a marcação afirmativa em uma dessas questões leva o protocolo ao patamar crítico.</w:t>
      </w:r>
    </w:p>
    <w:p w14:paraId="515BEA4C" w14:textId="77777777" w:rsidR="00973582" w:rsidRPr="00F330B8" w:rsidRDefault="00000000" w:rsidP="00F330B8">
      <w:pPr>
        <w:pStyle w:val="Heading2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 Por que a cláusula existe</w:t>
      </w:r>
    </w:p>
    <w:p w14:paraId="4E384EBC" w14:textId="77777777" w:rsidR="00973582" w:rsidRPr="00F330B8" w:rsidRDefault="00000000" w:rsidP="00C30793">
      <w:pPr>
        <w:spacing w:after="12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duas condições capturadas por P4.1 e P4.2 (ausência de revisão humana sobre uma decisão que afeta diretamente o participante, e potencial de dano irreversível) são, no entendimento que orientou a elaboração da matriz, eticamente inegociáveis. São exatamente o tipo de condição que um modelo puramente aditivo trataria mal: um protocolo poderia </w:t>
        <w:lastRenderedPageBreak/>
        <w:t>acumular pontuação baixa nos demais blocos e, ainda assim, embutir um risco decisional grave que ficaria “diluído” no escore total. A cláusula impede essa diluição, tornando a presença da condição decisiva por si só.</w:t>
      </w:r>
    </w:p>
    <w:p w14:paraId="61315611" w14:textId="77777777" w:rsidR="00973582" w:rsidRPr="00F330B8" w:rsidRDefault="00000000" w:rsidP="00C30793">
      <w:pPr>
        <w:spacing w:after="12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Trata-se, portanto, de uma quebra deliberada da aditividade — uma regra deontológica embutida na escala quantitativa. Ela afirma que há riscos cuja gravidade não é compensável por boas pontuações em outras dimensões.</w:t>
      </w:r>
    </w:p>
    <w:p w14:paraId="3CBFA6DD" w14:textId="77777777" w:rsidR="00C30793" w:rsidRDefault="00C30793" w:rsidP="00F330B8">
      <w:pPr>
        <w:pStyle w:val="Heading2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713A37" w14:textId="77777777" w:rsidR="00973582" w:rsidRPr="00F330B8" w:rsidRDefault="00000000" w:rsidP="00F330B8">
      <w:pPr>
        <w:pStyle w:val="Heading2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 Como a cláusula interage com o restante da Versão B</w:t>
      </w:r>
    </w:p>
    <w:p w14:paraId="55D2FFDC" w14:textId="77777777" w:rsidR="00973582" w:rsidRPr="00F330B8" w:rsidRDefault="00000000" w:rsidP="00C30793">
      <w:pPr>
        <w:spacing w:after="12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Vale contrastá-la com o Bloco 7 (Mitigação), o outro mecanismo que altera o escore. O Bloco 7 é bidirecional e opera dentro da soma: subtrai pontos quando há mitigação e os preserva quando não há, com piso de zero, isto é, move o protocolo ao longo do gradiente, mas nunca o retira dele. A Cláusula de Prevalência Ética faz o oposto: não participa da soma, e sim a sobrescreve. Por consequência, nenhuma mitigação do Bloco 7 reduz um protocolo abaixo do Nível IV uma vez acionada a cláusula, a salvaguarda ética prevalece sobre o crédito de mitigação.</w:t>
      </w:r>
    </w:p>
    <w:p w14:paraId="1AAE7763" w14:textId="77777777" w:rsidR="00973582" w:rsidRPr="00F330B8" w:rsidRDefault="00000000" w:rsidP="00F330B8">
      <w:pPr>
        <w:pStyle w:val="Heading2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 Três cenários para tornar a cláusula concreta</w:t>
      </w:r>
    </w:p>
    <w:p w14:paraId="3226C9FD" w14:textId="77777777" w:rsidR="00C30793" w:rsidRDefault="00C30793" w:rsidP="00F330B8">
      <w:pPr>
        <w:pStyle w:val="Heading2"/>
        <w:spacing w:before="120" w:after="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51FAB28" w14:textId="77777777" w:rsidR="00973582" w:rsidRPr="00F330B8" w:rsidRDefault="00000000" w:rsidP="00C30793">
      <w:pPr>
        <w:pStyle w:val="Heading2"/>
        <w:spacing w:before="120" w:after="6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Tabela 4 — Efeito da Cláusula de Prevalência Ética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1500"/>
        <w:gridCol w:w="2826"/>
        <w:gridCol w:w="2400"/>
      </w:tblGrid>
      <w:tr w:rsidR="00973582" w:rsidRPr="00F330B8" w14:paraId="3FEC92B6" w14:textId="77777777">
        <w:trPr>
          <w:tblHeader/>
        </w:trPr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AF5D281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Cenário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39988D0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P4.1 / P4.2</w:t>
            </w:r>
          </w:p>
        </w:tc>
        <w:tc>
          <w:tcPr>
            <w:tcW w:w="2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226741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Soma dos blocos indicaria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6E024B1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Classificação final</w:t>
            </w:r>
          </w:p>
        </w:tc>
      </w:tr>
      <w:tr w:rsidR="00973582" w:rsidRPr="00F330B8" w14:paraId="1646F60E" w14:textId="77777777"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1C525FB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— sem condição crítica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34F1488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Não / Não</w:t>
            </w:r>
          </w:p>
        </w:tc>
        <w:tc>
          <w:tcPr>
            <w:tcW w:w="2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BD3731B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Conforme os pontos de corte (ex.: Nível II)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9F3BA82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Definida pela soma (Nível II)</w:t>
            </w:r>
          </w:p>
        </w:tc>
      </w:tr>
      <w:tr w:rsidR="00973582" w:rsidRPr="00F330B8" w14:paraId="03C37867" w14:textId="77777777"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B5A2F0F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 — escore baixo, mas condição crítica presente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DCC203A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Sim (uma delas)</w:t>
            </w:r>
          </w:p>
        </w:tc>
        <w:tc>
          <w:tcPr>
            <w:tcW w:w="2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AFD1960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Nível I ou II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AC35C95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Nível IV (cláusula sobrescreve a soma)</w:t>
            </w:r>
          </w:p>
        </w:tc>
      </w:tr>
      <w:tr w:rsidR="00973582" w:rsidRPr="00F330B8" w14:paraId="5867D359" w14:textId="77777777"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CEECAB3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 — escore já alto e condição presente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FE33993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Sim (uma delas)</w:t>
            </w:r>
          </w:p>
        </w:tc>
        <w:tc>
          <w:tcPr>
            <w:tcW w:w="2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B24A2AD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Nível III ou IV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81C4CD" w14:textId="77777777" w:rsidR="00973582" w:rsidRPr="00F330B8" w:rsidRDefault="00000000" w:rsidP="00F33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Nível IV (sem duplo efeito)</w:t>
            </w:r>
          </w:p>
        </w:tc>
      </w:tr>
    </w:tbl>
    <w:p w14:paraId="2223E63C" w14:textId="77777777" w:rsidR="00A316F7" w:rsidRDefault="00A316F7" w:rsidP="00F330B8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444AA9" w14:textId="77777777" w:rsidR="00973582" w:rsidRPr="00F330B8" w:rsidRDefault="00000000" w:rsidP="00A316F7">
      <w:pPr>
        <w:spacing w:after="12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Cenário B é o que torna a cláusula visível: é nele que a regra deontológica se descola do que a aritmética indicaria, elevando o protocolo do gradiente baixo direto ao patamar crítico.</w:t>
      </w:r>
    </w:p>
    <w:p w14:paraId="14F11E72" w14:textId="77777777" w:rsidR="00A316F7" w:rsidRDefault="00A316F7" w:rsidP="00F330B8">
      <w:pPr>
        <w:pStyle w:val="Heading2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29C838" w14:textId="77777777" w:rsidR="00A316F7" w:rsidRDefault="00A316F7" w:rsidP="00F330B8">
      <w:pPr>
        <w:pStyle w:val="Heading2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AF2C6CA" w14:textId="77777777" w:rsidR="00973582" w:rsidRPr="00F330B8" w:rsidRDefault="00000000" w:rsidP="00F330B8">
      <w:pPr>
        <w:pStyle w:val="Heading2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 Crítica: o que um leitor técnico pode levantar</w:t>
      </w:r>
    </w:p>
    <w:p w14:paraId="0EC100F0" w14:textId="77777777" w:rsidR="00973582" w:rsidRPr="00F330B8" w:rsidRDefault="00000000" w:rsidP="00F330B8">
      <w:pPr>
        <w:pStyle w:val="ListParagraph"/>
        <w:numPr>
          <w:ilvl w:val="0"/>
          <w:numId w:val="2"/>
        </w:numPr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“Por que uma salvaguarda em vez de simplesmente atribuir peso muito alto a P4.1 e P4.2?” Porque um peso alto, ainda que grande, permaneceria dentro da soma e poderia, em tese, ser compensado ou diluído pela combinação dos demais blocos. A salvaguarda garante que a condição prevaleça em qualquer configuração de escore.</w:t>
      </w:r>
    </w:p>
    <w:p w14:paraId="1D4DB60E" w14:textId="77777777" w:rsidR="00973582" w:rsidRPr="00F330B8" w:rsidRDefault="00000000" w:rsidP="00F330B8">
      <w:pPr>
        <w:pStyle w:val="ListParagraph"/>
        <w:numPr>
          <w:ilvl w:val="0"/>
          <w:numId w:val="2"/>
        </w:numPr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“Isso não gera sobre-classificação?” Pode gerar, em algum percentual, é o custo deliberado da precaução. A Frente 2 da Validação Local (distribuição empírica nos níveis) é o instrumento para verificar com que frequência a cláusula é acionada e se a elevação se mostra desproporcional na casuística real.</w:t>
      </w:r>
    </w:p>
    <w:p w14:paraId="494DF9C6" w14:textId="77777777" w:rsidR="00973582" w:rsidRPr="00F330B8" w:rsidRDefault="00000000" w:rsidP="00F330B8">
      <w:pPr>
        <w:pStyle w:val="ListParagraph"/>
        <w:numPr>
          <w:ilvl w:val="0"/>
          <w:numId w:val="2"/>
        </w:numPr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“A elevação é automática ou faculdade do colegiado?” A MARIAH aplica a elevação na classificação que computa; a decisão final permanece com o CEP. Como em todo o instrumento, a matriz não aprova nem reprova protocolos e não substitui a deliberação colegiada. A salvaguarda é um sinalizador conservador, não um veredito.</w:t>
      </w:r>
    </w:p>
    <w:p w14:paraId="4F73EDBB" w14:textId="77777777" w:rsidR="00973582" w:rsidRPr="00F330B8" w:rsidRDefault="00000000" w:rsidP="00F330B8">
      <w:pPr>
        <w:pStyle w:val="Heading1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Gatilhos 3 e 4 Questões eliminatórias (cadeia de custódia e novo consentimento)</w:t>
      </w:r>
    </w:p>
    <w:p w14:paraId="2D73FFBE" w14:textId="77777777" w:rsidR="00973582" w:rsidRPr="00F330B8" w:rsidRDefault="00000000" w:rsidP="00A316F7">
      <w:pPr>
        <w:spacing w:after="12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dois últimos gatilhos são de natureza distinta dos dois primeiros e, por isso, são apresentados em conjunto. Ambos são questões eliminatórias: quando acionadas, não elevam o protocolo a um nível de risco mais alto — retiram-no do fluxo de classificação, atribuindo-lhe a saída categorial “não avaliável pela MARIAH”. Essa saída não é um quinto nível nem um agravamento da soma; é uma recusa de classificação, que sinaliza que o protocolo exige análise individualizada do colegiado, fora do alcance do instrumento. Os dois diferem quanto ao fundamento. O Gatilho 3 (cadeia de custódia, Res. CNS n.º 738/2024) dispara quando falta cadeia de custódia formalizada dos dados. O Gatilho 4 (novo consentimento, Lei n.º 14.874/2024 e LGPD) dispara em sistemas que mudam de comportamento durante o estudo — na Versão A quando 1.2 = Sim; na Versão B quando P2.2 = Sim — e o protocolo não apresenta plano de novo consentimento com limiar de mudança definido, procedimento e responsável; por ser exigência legal, a ausência desse plano não é compensável por pontos. Na Versão A corresponde à questão 2.10; na Versão B, à P2.8. São, nesse sentido, as salvaguardas mais radicais: enquanto os Gatilhos 1 e 2 forçam a elevação para dentro da escala, as questões eliminatórias sobrescrevem a contagem ou a soma reconhecendo o limite da própria matriz. O acionamento remete o caso à deliberação do CEP, em coerência com o disclaimer da MARIAH, que não substitui o julgamento do colegiado. Na esteira da Res. CNS n.º 738/2024, a versão atual acrescenta ainda, no Eixo 3.b / Bloco 6.b, três itens de diligência (P6.b.4.1, P6.b.6 e P6.b.7) que não pontuam e operam como um gate cumulativo: quando qualquer critério aplicável não é atendido, o protocolo é igualmente devolvido para diligência, sem análise de mérito.</w:t>
      </w:r>
    </w:p>
    <w:p w14:paraId="5626E993" w14:textId="77777777" w:rsidR="00973582" w:rsidRPr="00F330B8" w:rsidRDefault="00000000" w:rsidP="00F330B8">
      <w:pPr>
        <w:pStyle w:val="Heading1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Em síntese</w:t>
      </w:r>
    </w:p>
    <w:p w14:paraId="2DDB862B" w14:textId="77777777" w:rsidR="00973582" w:rsidRPr="00F330B8" w:rsidRDefault="00000000" w:rsidP="00A316F7">
      <w:pPr>
        <w:spacing w:after="12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quatro gatilhos (a regra especial do Eixo 3.b, a Cláusula de Prevalência Ética, a eliminatória de cadeia de custódia e a diligência impeditiva de novo consentimento) materializam, em conjunto, a postura conservadora da MARIAH. São decisões éticas embutidas na escala, não derivações estatísticas: cada uma identifica uma condição que não admite tratamento gradual e faz com que a sua presença prevaleça sobre a contagem (Versão A) ou a soma (Versão B). São assimetrias deliberadas, assumidas como tais, </w:t>
        <w:lastRenderedPageBreak/>
        <w:t xml:space="preserve">que priorizam a precaução sobre a proporcionalidade fina e escolha coerente com a ausência, neste estágio, de evidência empírica que permitisse uma calibração proporcional.</w:t>
      </w:r>
    </w:p>
    <w:p w14:paraId="59B6EA53" w14:textId="77777777" w:rsidR="00973582" w:rsidRDefault="00000000" w:rsidP="00A316F7">
      <w:pPr>
        <w:spacing w:after="12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Frente 2 da Validação Local (distribuição empírica nos quatro níveis, na Versão B) é o instrumento prospectivo desenhado para verificar, na casuística real dos CEPs, se esses gatilhos estão bem calibrados ou se produzem sobre-classificação que justifique ajuste. Eventuais sugestões do GT sobre essas regras serão consolidadas no fechamento do período de leitura, antes do envio do Guia à Editora MS. Observações e críticas técnicas podem ser encaminhadas, em qualquer momento, à CGREP (</w:t>
      </w:r>
      <w:hyperlink r:id="rId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cgrep@saude.gov.br</w:t>
        </w:r>
      </w:hyperlink>
      <w:r>
        <w:rPr>
          <w:rFonts w:ascii="Times New Roman" w:hAnsi="Times New Roman" w:cs="Times New Roman"/>
          <w:sz w:val="24"/>
          <w:szCs w:val="24"/>
        </w:rPr>
        <w:t>).</w:t>
      </w:r>
    </w:p>
    <w:p w14:paraId="59484FA9" w14:textId="77777777" w:rsidR="002A68F7" w:rsidRPr="00F330B8" w:rsidRDefault="002A68F7" w:rsidP="00A316F7">
      <w:pPr>
        <w:spacing w:after="12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2A68F7" w:rsidRPr="00F330B8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A581B" w14:textId="77777777" w:rsidR="008701C5" w:rsidRDefault="008701C5">
      <w:r>
        <w:separator/>
      </w:r>
    </w:p>
  </w:endnote>
  <w:endnote w:type="continuationSeparator" w:id="0">
    <w:p w14:paraId="24495B41" w14:textId="77777777" w:rsidR="008701C5" w:rsidRDefault="00870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62999" w14:textId="77777777" w:rsidR="00973582" w:rsidRDefault="00000000">
    <w:pPr>
      <w:jc w:val="center"/>
    </w:pPr>
    <w:r>
      <w:rPr>
        <w:color w:val="6B7280"/>
        <w:sz w:val="16"/>
        <w:szCs w:val="16"/>
      </w:rPr>
      <w:t xml:space="preserve">Página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>PAGE</w:instrText>
    </w:r>
    <w:r>
      <w:rPr>
        <w:color w:val="6B7280"/>
        <w:sz w:val="16"/>
        <w:szCs w:val="16"/>
      </w:rPr>
      <w:fldChar w:fldCharType="separate"/>
    </w:r>
    <w:r w:rsidR="00F330B8">
      <w:rPr>
        <w:noProof/>
        <w:color w:val="6B7280"/>
        <w:sz w:val="16"/>
        <w:szCs w:val="16"/>
      </w:rPr>
      <w:t>1</w:t>
    </w:r>
    <w:r>
      <w:rPr>
        <w:color w:val="6B7280"/>
        <w:sz w:val="16"/>
        <w:szCs w:val="16"/>
      </w:rPr>
      <w:fldChar w:fldCharType="end"/>
    </w:r>
    <w:r>
      <w:rPr>
        <w:color w:val="6B7280"/>
        <w:sz w:val="16"/>
        <w:szCs w:val="16"/>
      </w:rPr>
      <w:t xml:space="preserve"> · Organização do GT INAEP · Ministério da Saúde ·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FC0D8" w14:textId="77777777" w:rsidR="008701C5" w:rsidRDefault="008701C5">
      <w:r>
        <w:separator/>
      </w:r>
    </w:p>
  </w:footnote>
  <w:footnote w:type="continuationSeparator" w:id="0">
    <w:p w14:paraId="334676EE" w14:textId="77777777" w:rsidR="008701C5" w:rsidRDefault="00870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09964" w14:textId="77777777" w:rsidR="00973582" w:rsidRDefault="00000000">
    <w:pPr>
      <w:jc w:val="right"/>
    </w:pPr>
    <w:r>
      <w:rPr>
        <w:color w:val="6B7280"/>
        <w:sz w:val="16"/>
        <w:szCs w:val="16"/>
      </w:rPr>
      <w:t>MARIAH — Suplemento técnico · Mecanismos de salvaguarda automática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954A7"/>
    <w:multiLevelType w:val="hybridMultilevel"/>
    <w:tmpl w:val="A7F0545E"/>
    <w:lvl w:ilvl="0" w:tplc="2966922A">
      <w:start w:val="1"/>
      <w:numFmt w:val="bullet"/>
      <w:lvlText w:val="•"/>
      <w:lvlJc w:val="left"/>
      <w:pPr>
        <w:ind w:left="540" w:hanging="280"/>
      </w:pPr>
    </w:lvl>
    <w:lvl w:ilvl="1" w:tplc="E14CB9EA">
      <w:numFmt w:val="decimal"/>
      <w:lvlText w:val=""/>
      <w:lvlJc w:val="left"/>
    </w:lvl>
    <w:lvl w:ilvl="2" w:tplc="CD408780">
      <w:numFmt w:val="decimal"/>
      <w:lvlText w:val=""/>
      <w:lvlJc w:val="left"/>
    </w:lvl>
    <w:lvl w:ilvl="3" w:tplc="CC6A9A40">
      <w:numFmt w:val="decimal"/>
      <w:lvlText w:val=""/>
      <w:lvlJc w:val="left"/>
    </w:lvl>
    <w:lvl w:ilvl="4" w:tplc="3294B022">
      <w:numFmt w:val="decimal"/>
      <w:lvlText w:val=""/>
      <w:lvlJc w:val="left"/>
    </w:lvl>
    <w:lvl w:ilvl="5" w:tplc="8280FDD8">
      <w:numFmt w:val="decimal"/>
      <w:lvlText w:val=""/>
      <w:lvlJc w:val="left"/>
    </w:lvl>
    <w:lvl w:ilvl="6" w:tplc="F48E9118">
      <w:numFmt w:val="decimal"/>
      <w:lvlText w:val=""/>
      <w:lvlJc w:val="left"/>
    </w:lvl>
    <w:lvl w:ilvl="7" w:tplc="EAECEFA2">
      <w:numFmt w:val="decimal"/>
      <w:lvlText w:val=""/>
      <w:lvlJc w:val="left"/>
    </w:lvl>
    <w:lvl w:ilvl="8" w:tplc="C03676FE">
      <w:numFmt w:val="decimal"/>
      <w:lvlText w:val=""/>
      <w:lvlJc w:val="left"/>
    </w:lvl>
  </w:abstractNum>
  <w:abstractNum w:abstractNumId="1" w15:restartNumberingAfterBreak="0">
    <w:nsid w:val="5D8E552B"/>
    <w:multiLevelType w:val="hybridMultilevel"/>
    <w:tmpl w:val="596E3692"/>
    <w:lvl w:ilvl="0" w:tplc="D818B40E">
      <w:start w:val="1"/>
      <w:numFmt w:val="bullet"/>
      <w:lvlText w:val="●"/>
      <w:lvlJc w:val="left"/>
      <w:pPr>
        <w:ind w:left="720" w:hanging="360"/>
      </w:pPr>
    </w:lvl>
    <w:lvl w:ilvl="1" w:tplc="2A4A9DB8">
      <w:start w:val="1"/>
      <w:numFmt w:val="bullet"/>
      <w:lvlText w:val="○"/>
      <w:lvlJc w:val="left"/>
      <w:pPr>
        <w:ind w:left="1440" w:hanging="360"/>
      </w:pPr>
    </w:lvl>
    <w:lvl w:ilvl="2" w:tplc="0A28230E">
      <w:start w:val="1"/>
      <w:numFmt w:val="bullet"/>
      <w:lvlText w:val="■"/>
      <w:lvlJc w:val="left"/>
      <w:pPr>
        <w:ind w:left="2160" w:hanging="360"/>
      </w:pPr>
    </w:lvl>
    <w:lvl w:ilvl="3" w:tplc="219A8EC4">
      <w:start w:val="1"/>
      <w:numFmt w:val="bullet"/>
      <w:lvlText w:val="●"/>
      <w:lvlJc w:val="left"/>
      <w:pPr>
        <w:ind w:left="2880" w:hanging="360"/>
      </w:pPr>
    </w:lvl>
    <w:lvl w:ilvl="4" w:tplc="89CE37EA">
      <w:start w:val="1"/>
      <w:numFmt w:val="bullet"/>
      <w:lvlText w:val="○"/>
      <w:lvlJc w:val="left"/>
      <w:pPr>
        <w:ind w:left="3600" w:hanging="360"/>
      </w:pPr>
    </w:lvl>
    <w:lvl w:ilvl="5" w:tplc="5DAE683A">
      <w:start w:val="1"/>
      <w:numFmt w:val="bullet"/>
      <w:lvlText w:val="■"/>
      <w:lvlJc w:val="left"/>
      <w:pPr>
        <w:ind w:left="4320" w:hanging="360"/>
      </w:pPr>
    </w:lvl>
    <w:lvl w:ilvl="6" w:tplc="F3A6B7B0">
      <w:start w:val="1"/>
      <w:numFmt w:val="bullet"/>
      <w:lvlText w:val="●"/>
      <w:lvlJc w:val="left"/>
      <w:pPr>
        <w:ind w:left="5040" w:hanging="360"/>
      </w:pPr>
    </w:lvl>
    <w:lvl w:ilvl="7" w:tplc="6FA0AA36">
      <w:start w:val="1"/>
      <w:numFmt w:val="bullet"/>
      <w:lvlText w:val="●"/>
      <w:lvlJc w:val="left"/>
      <w:pPr>
        <w:ind w:left="5760" w:hanging="360"/>
      </w:pPr>
    </w:lvl>
    <w:lvl w:ilvl="8" w:tplc="51BC0BB6">
      <w:start w:val="1"/>
      <w:numFmt w:val="bullet"/>
      <w:lvlText w:val="●"/>
      <w:lvlJc w:val="left"/>
      <w:pPr>
        <w:ind w:left="6480" w:hanging="360"/>
      </w:pPr>
    </w:lvl>
  </w:abstractNum>
  <w:num w:numId="1" w16cid:durableId="1761414528">
    <w:abstractNumId w:val="1"/>
    <w:lvlOverride w:ilvl="0">
      <w:startOverride w:val="1"/>
    </w:lvlOverride>
  </w:num>
  <w:num w:numId="2" w16cid:durableId="15028929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582"/>
    <w:rsid w:val="00120BC4"/>
    <w:rsid w:val="001C0D30"/>
    <w:rsid w:val="00285364"/>
    <w:rsid w:val="002A68F7"/>
    <w:rsid w:val="003E0989"/>
    <w:rsid w:val="004956F1"/>
    <w:rsid w:val="00555D69"/>
    <w:rsid w:val="007F1C28"/>
    <w:rsid w:val="008701C5"/>
    <w:rsid w:val="00935DC8"/>
    <w:rsid w:val="00973582"/>
    <w:rsid w:val="009804FE"/>
    <w:rsid w:val="00A316F7"/>
    <w:rsid w:val="00B10850"/>
    <w:rsid w:val="00C30793"/>
    <w:rsid w:val="00D022B7"/>
    <w:rsid w:val="00D44E19"/>
    <w:rsid w:val="00F330B8"/>
    <w:rsid w:val="00FB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B50233D"/>
  <w15:docId w15:val="{25B0B807-18C3-4A49-AE0F-104B0720B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0F766E"/>
      <w:sz w:val="26"/>
      <w:szCs w:val="26"/>
    </w:rPr>
  </w:style>
  <w:style w:type="paragraph" w:styleId="Heading2">
    <w:name w:val="heading 2"/>
    <w:uiPriority w:val="9"/>
    <w:unhideWhenUsed/>
    <w:qFormat/>
    <w:pPr>
      <w:spacing w:before="160" w:after="80"/>
      <w:outlineLvl w:val="1"/>
    </w:pPr>
    <w:rPr>
      <w:b/>
      <w:bCs/>
      <w:color w:val="1F2937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A68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grep@saude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2291</Words>
  <Characters>11825</Characters>
  <Application>Microsoft Office Word</Application>
  <DocSecurity>0</DocSecurity>
  <Lines>275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Fabiano Tonaco Borges</cp:lastModifiedBy>
  <cp:revision>2</cp:revision>
  <dcterms:created xsi:type="dcterms:W3CDTF">2026-06-14T20:24:00Z</dcterms:created>
  <dcterms:modified xsi:type="dcterms:W3CDTF">2026-06-14T20:24:00Z</dcterms:modified>
</cp:coreProperties>
</file>